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124" w:rsidRDefault="00731662" w:rsidP="00EF1124">
      <w:pPr>
        <w:spacing w:afterLines="100" w:after="360"/>
        <w:jc w:val="center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Times New Roman" w:hint="eastAsia"/>
          <w:b/>
          <w:sz w:val="28"/>
          <w:szCs w:val="28"/>
        </w:rPr>
        <w:t>10</w:t>
      </w:r>
      <w:r w:rsidR="00047558">
        <w:rPr>
          <w:rFonts w:ascii="Times New Roman" w:eastAsia="標楷體" w:hAnsi="Times New Roman" w:hint="eastAsia"/>
          <w:b/>
          <w:sz w:val="28"/>
          <w:szCs w:val="28"/>
        </w:rPr>
        <w:t>7</w:t>
      </w:r>
      <w:r>
        <w:rPr>
          <w:rFonts w:ascii="Times New Roman" w:eastAsia="標楷體" w:hAnsi="Times New Roman" w:hint="eastAsia"/>
          <w:b/>
          <w:sz w:val="28"/>
          <w:szCs w:val="28"/>
        </w:rPr>
        <w:t>學年度</w:t>
      </w:r>
      <w:r w:rsidR="00EF1124">
        <w:rPr>
          <w:rFonts w:ascii="Times New Roman" w:eastAsia="標楷體" w:hAnsi="Times New Roman" w:hint="eastAsia"/>
          <w:b/>
          <w:sz w:val="28"/>
          <w:szCs w:val="28"/>
        </w:rPr>
        <w:t>東海大學社會工作學系</w:t>
      </w:r>
      <w:r w:rsidR="0021493B" w:rsidRPr="00F4752B">
        <w:rPr>
          <w:rFonts w:ascii="Times New Roman" w:eastAsia="標楷體" w:hAnsi="標楷體"/>
          <w:b/>
          <w:sz w:val="28"/>
          <w:szCs w:val="28"/>
        </w:rPr>
        <w:t>博士班</w:t>
      </w:r>
      <w:r w:rsidR="00F4752B" w:rsidRPr="00F4752B">
        <w:rPr>
          <w:rFonts w:ascii="Times New Roman" w:eastAsia="標楷體" w:hAnsi="標楷體" w:hint="eastAsia"/>
          <w:b/>
          <w:sz w:val="28"/>
          <w:szCs w:val="28"/>
        </w:rPr>
        <w:t>招收大陸地區學生</w:t>
      </w:r>
      <w:r w:rsidR="00F4752B" w:rsidRPr="00EF1124">
        <w:rPr>
          <w:rFonts w:ascii="Times New Roman" w:eastAsia="標楷體" w:hAnsi="標楷體" w:hint="eastAsia"/>
          <w:b/>
          <w:sz w:val="28"/>
          <w:szCs w:val="28"/>
        </w:rPr>
        <w:t>簡章</w:t>
      </w:r>
    </w:p>
    <w:p w:rsidR="00A94E9B" w:rsidRDefault="00A94E9B" w:rsidP="00A94E9B">
      <w:pPr>
        <w:spacing w:beforeLines="20" w:before="72" w:afterLines="20" w:after="72"/>
        <w:ind w:leftChars="100" w:left="240" w:firstLineChars="450" w:firstLine="1170"/>
        <w:rPr>
          <w:rFonts w:ascii="Times New Roman" w:eastAsia="標楷體" w:hAnsi="標楷體"/>
          <w:b/>
          <w:sz w:val="28"/>
          <w:szCs w:val="28"/>
        </w:rPr>
      </w:pPr>
      <w:r>
        <w:rPr>
          <w:rFonts w:ascii="Times New Roman" w:eastAsia="標楷體" w:hAnsi="標楷體" w:hint="eastAsia"/>
          <w:sz w:val="26"/>
          <w:szCs w:val="26"/>
        </w:rPr>
        <w:t>（陸生聯招會</w:t>
      </w:r>
      <w:hyperlink r:id="rId8" w:history="1">
        <w:r w:rsidRPr="007B0C55">
          <w:rPr>
            <w:rStyle w:val="a4"/>
            <w:rFonts w:ascii="Times New Roman" w:eastAsia="標楷體" w:hAnsi="標楷體"/>
            <w:sz w:val="26"/>
            <w:szCs w:val="26"/>
          </w:rPr>
          <w:t>http://rusen.stust.edu.tw/cpx/index.html</w:t>
        </w:r>
      </w:hyperlink>
      <w:r>
        <w:rPr>
          <w:rFonts w:ascii="Times New Roman" w:eastAsia="標楷體" w:hAnsi="標楷體" w:hint="eastAsia"/>
          <w:sz w:val="26"/>
          <w:szCs w:val="26"/>
        </w:rPr>
        <w:t>）</w:t>
      </w:r>
    </w:p>
    <w:p w:rsidR="00A94E9B" w:rsidRPr="00EF1124" w:rsidRDefault="00A94E9B" w:rsidP="00EF1124">
      <w:pPr>
        <w:spacing w:afterLines="100" w:after="360"/>
        <w:jc w:val="center"/>
        <w:rPr>
          <w:rFonts w:ascii="Times New Roman" w:eastAsia="標楷體" w:hAnsi="標楷體"/>
          <w:b/>
          <w:sz w:val="28"/>
          <w:szCs w:val="28"/>
        </w:rPr>
      </w:pPr>
    </w:p>
    <w:p w:rsidR="00EF1124" w:rsidRPr="00EF1124" w:rsidRDefault="00EF1124" w:rsidP="00EF1124">
      <w:pPr>
        <w:spacing w:afterLines="20" w:after="72"/>
        <w:rPr>
          <w:rFonts w:ascii="Times New Roman" w:eastAsia="標楷體" w:hAnsi="Times New Roman"/>
          <w:b/>
          <w:sz w:val="26"/>
          <w:szCs w:val="26"/>
        </w:rPr>
      </w:pPr>
      <w:r>
        <w:rPr>
          <w:rFonts w:ascii="Times New Roman" w:eastAsia="標楷體" w:hAnsi="標楷體" w:hint="eastAsia"/>
          <w:b/>
          <w:sz w:val="26"/>
          <w:szCs w:val="26"/>
        </w:rPr>
        <w:t>一、</w:t>
      </w:r>
      <w:r w:rsidR="0021493B" w:rsidRPr="00EF1124">
        <w:rPr>
          <w:rFonts w:ascii="Times New Roman" w:eastAsia="標楷體" w:hAnsi="標楷體"/>
          <w:b/>
          <w:sz w:val="26"/>
          <w:szCs w:val="26"/>
        </w:rPr>
        <w:t>研究領域及系所特色</w:t>
      </w:r>
    </w:p>
    <w:p w:rsidR="00EF1124" w:rsidRPr="00EF1124" w:rsidRDefault="00EF1124" w:rsidP="00EF1124">
      <w:pPr>
        <w:spacing w:afterLines="20" w:after="72"/>
        <w:rPr>
          <w:rFonts w:ascii="Times New Roman" w:eastAsia="標楷體" w:hAnsi="Times New Roman"/>
          <w:sz w:val="26"/>
          <w:szCs w:val="26"/>
        </w:rPr>
      </w:pPr>
      <w:r w:rsidRPr="00EF1124">
        <w:rPr>
          <w:rFonts w:ascii="Times New Roman" w:eastAsia="標楷體" w:hAnsi="Times New Roman" w:hint="eastAsia"/>
          <w:sz w:val="26"/>
          <w:szCs w:val="26"/>
        </w:rPr>
        <w:t>培養社會工作專精領域中，理論與研究並重，能夠從事政策規劃與評鑑的學術、教育、與領導人才是博生教育目標。期待博生具備</w:t>
      </w:r>
      <w:r w:rsidRPr="00EF1124">
        <w:rPr>
          <w:rFonts w:ascii="Times New Roman" w:eastAsia="標楷體" w:hAnsi="Times New Roman" w:hint="eastAsia"/>
          <w:sz w:val="26"/>
          <w:szCs w:val="26"/>
        </w:rPr>
        <w:t>1.</w:t>
      </w:r>
      <w:r w:rsidRPr="00EF1124">
        <w:rPr>
          <w:rFonts w:ascii="Times New Roman" w:eastAsia="標楷體" w:hAnsi="Times New Roman" w:hint="eastAsia"/>
          <w:sz w:val="26"/>
          <w:szCs w:val="26"/>
        </w:rPr>
        <w:t>社工理</w:t>
      </w:r>
      <w:bookmarkStart w:id="0" w:name="_GoBack"/>
      <w:bookmarkEnd w:id="0"/>
      <w:r w:rsidRPr="00EF1124">
        <w:rPr>
          <w:rFonts w:ascii="Times New Roman" w:eastAsia="標楷體" w:hAnsi="Times New Roman" w:hint="eastAsia"/>
          <w:sz w:val="26"/>
          <w:szCs w:val="26"/>
        </w:rPr>
        <w:t>論與服務輸送；</w:t>
      </w:r>
      <w:r w:rsidRPr="00EF1124">
        <w:rPr>
          <w:rFonts w:ascii="Times New Roman" w:eastAsia="標楷體" w:hAnsi="Times New Roman" w:hint="eastAsia"/>
          <w:sz w:val="26"/>
          <w:szCs w:val="26"/>
        </w:rPr>
        <w:t>2.</w:t>
      </w:r>
      <w:r w:rsidRPr="00EF1124">
        <w:rPr>
          <w:rFonts w:ascii="Times New Roman" w:eastAsia="標楷體" w:hAnsi="Times New Roman" w:hint="eastAsia"/>
          <w:sz w:val="26"/>
          <w:szCs w:val="26"/>
        </w:rPr>
        <w:t>分析規劃政策判析服務效益；</w:t>
      </w:r>
      <w:r w:rsidRPr="00EF1124">
        <w:rPr>
          <w:rFonts w:ascii="Times New Roman" w:eastAsia="標楷體" w:hAnsi="Times New Roman" w:hint="eastAsia"/>
          <w:sz w:val="26"/>
          <w:szCs w:val="26"/>
        </w:rPr>
        <w:t>3.</w:t>
      </w:r>
      <w:r w:rsidRPr="00EF1124">
        <w:rPr>
          <w:rFonts w:ascii="Times New Roman" w:eastAsia="標楷體" w:hAnsi="Times New Roman" w:hint="eastAsia"/>
          <w:sz w:val="26"/>
          <w:szCs w:val="26"/>
        </w:rPr>
        <w:t>進行社會關懷從事助人專業研究；</w:t>
      </w:r>
      <w:r w:rsidRPr="00EF1124">
        <w:rPr>
          <w:rFonts w:ascii="Times New Roman" w:eastAsia="標楷體" w:hAnsi="Times New Roman" w:hint="eastAsia"/>
          <w:sz w:val="26"/>
          <w:szCs w:val="26"/>
        </w:rPr>
        <w:t>4.</w:t>
      </w:r>
      <w:r w:rsidRPr="00EF1124">
        <w:rPr>
          <w:rFonts w:ascii="Times New Roman" w:eastAsia="標楷體" w:hAnsi="Times New Roman" w:hint="eastAsia"/>
          <w:sz w:val="26"/>
          <w:szCs w:val="26"/>
        </w:rPr>
        <w:t>講授大學課程的綜合能力。本系師生實務經驗豐富，彼此砥礪，除立所時間早</w:t>
      </w:r>
      <w:r w:rsidRPr="00EF1124">
        <w:rPr>
          <w:rFonts w:ascii="Times New Roman" w:eastAsia="標楷體" w:hAnsi="Times New Roman" w:hint="eastAsia"/>
          <w:sz w:val="26"/>
          <w:szCs w:val="26"/>
        </w:rPr>
        <w:t>(1994)</w:t>
      </w:r>
      <w:r w:rsidRPr="00EF1124">
        <w:rPr>
          <w:rFonts w:ascii="Times New Roman" w:eastAsia="標楷體" w:hAnsi="Times New Roman" w:hint="eastAsia"/>
          <w:sz w:val="26"/>
          <w:szCs w:val="26"/>
        </w:rPr>
        <w:t>，最早招收博士班陸生，近</w:t>
      </w:r>
      <w:r w:rsidR="00047558">
        <w:rPr>
          <w:rFonts w:ascii="Times New Roman" w:eastAsia="標楷體" w:hAnsi="Times New Roman" w:hint="eastAsia"/>
          <w:sz w:val="26"/>
          <w:szCs w:val="26"/>
        </w:rPr>
        <w:t>六</w:t>
      </w:r>
      <w:r w:rsidRPr="00EF1124">
        <w:rPr>
          <w:rFonts w:ascii="Times New Roman" w:eastAsia="標楷體" w:hAnsi="Times New Roman" w:hint="eastAsia"/>
          <w:sz w:val="26"/>
          <w:szCs w:val="26"/>
        </w:rPr>
        <w:t>年已招收</w:t>
      </w:r>
      <w:r w:rsidR="00047558">
        <w:rPr>
          <w:rFonts w:ascii="Times New Roman" w:eastAsia="標楷體" w:hAnsi="Times New Roman" w:hint="eastAsia"/>
          <w:sz w:val="26"/>
          <w:szCs w:val="26"/>
        </w:rPr>
        <w:t>6</w:t>
      </w:r>
      <w:r w:rsidRPr="00EF1124">
        <w:rPr>
          <w:rFonts w:ascii="Times New Roman" w:eastAsia="標楷體" w:hAnsi="Times New Roman" w:hint="eastAsia"/>
          <w:sz w:val="26"/>
          <w:szCs w:val="26"/>
        </w:rPr>
        <w:t>屆</w:t>
      </w:r>
      <w:r w:rsidRPr="00EF1124">
        <w:rPr>
          <w:rFonts w:ascii="Times New Roman" w:eastAsia="標楷體" w:hAnsi="Times New Roman" w:hint="eastAsia"/>
          <w:sz w:val="26"/>
          <w:szCs w:val="26"/>
        </w:rPr>
        <w:t>1</w:t>
      </w:r>
      <w:r w:rsidR="00047558">
        <w:rPr>
          <w:rFonts w:ascii="Times New Roman" w:eastAsia="標楷體" w:hAnsi="Times New Roman" w:hint="eastAsia"/>
          <w:sz w:val="26"/>
          <w:szCs w:val="26"/>
        </w:rPr>
        <w:t>6</w:t>
      </w:r>
      <w:r w:rsidRPr="00EF1124">
        <w:rPr>
          <w:rFonts w:ascii="Times New Roman" w:eastAsia="標楷體" w:hAnsi="Times New Roman" w:hint="eastAsia"/>
          <w:sz w:val="26"/>
          <w:szCs w:val="26"/>
        </w:rPr>
        <w:t>位博士班陸生</w:t>
      </w:r>
      <w:r w:rsidR="00047558">
        <w:rPr>
          <w:rFonts w:ascii="標楷體" w:eastAsia="標楷體" w:hAnsi="標楷體" w:hint="eastAsia"/>
          <w:sz w:val="26"/>
          <w:szCs w:val="26"/>
        </w:rPr>
        <w:t>【</w:t>
      </w:r>
      <w:r w:rsidR="00047558">
        <w:rPr>
          <w:rFonts w:ascii="Times New Roman" w:eastAsia="標楷體" w:hAnsi="Times New Roman" w:hint="eastAsia"/>
          <w:sz w:val="26"/>
          <w:szCs w:val="26"/>
        </w:rPr>
        <w:t>106</w:t>
      </w:r>
      <w:r w:rsidR="00047558">
        <w:rPr>
          <w:rFonts w:ascii="Times New Roman" w:eastAsia="標楷體" w:hAnsi="Times New Roman" w:hint="eastAsia"/>
          <w:sz w:val="26"/>
          <w:szCs w:val="26"/>
        </w:rPr>
        <w:t>學年度第</w:t>
      </w:r>
      <w:r w:rsidR="00047558">
        <w:rPr>
          <w:rFonts w:ascii="Times New Roman" w:eastAsia="標楷體" w:hAnsi="Times New Roman" w:hint="eastAsia"/>
          <w:sz w:val="26"/>
          <w:szCs w:val="26"/>
        </w:rPr>
        <w:t>1</w:t>
      </w:r>
      <w:r w:rsidR="00047558">
        <w:rPr>
          <w:rFonts w:ascii="Times New Roman" w:eastAsia="標楷體" w:hAnsi="Times New Roman" w:hint="eastAsia"/>
          <w:sz w:val="26"/>
          <w:szCs w:val="26"/>
        </w:rPr>
        <w:t>學期已有</w:t>
      </w:r>
      <w:r w:rsidR="00047558">
        <w:rPr>
          <w:rFonts w:ascii="Times New Roman" w:eastAsia="標楷體" w:hAnsi="Times New Roman" w:hint="eastAsia"/>
          <w:sz w:val="26"/>
          <w:szCs w:val="26"/>
        </w:rPr>
        <w:t>3</w:t>
      </w:r>
      <w:r w:rsidR="00047558">
        <w:rPr>
          <w:rFonts w:ascii="Times New Roman" w:eastAsia="標楷體" w:hAnsi="Times New Roman" w:hint="eastAsia"/>
          <w:sz w:val="26"/>
          <w:szCs w:val="26"/>
        </w:rPr>
        <w:t>位畢業生</w:t>
      </w:r>
      <w:r w:rsidR="00047558">
        <w:rPr>
          <w:rFonts w:ascii="標楷體" w:eastAsia="標楷體" w:hAnsi="標楷體" w:hint="eastAsia"/>
          <w:sz w:val="26"/>
          <w:szCs w:val="26"/>
        </w:rPr>
        <w:t>】</w:t>
      </w:r>
      <w:r w:rsidRPr="00EF1124">
        <w:rPr>
          <w:rFonts w:ascii="Times New Roman" w:eastAsia="標楷體" w:hAnsi="Times New Roman" w:hint="eastAsia"/>
          <w:sz w:val="26"/>
          <w:szCs w:val="26"/>
        </w:rPr>
        <w:t>，可為華人社工發展做出重要貢獻。</w:t>
      </w:r>
    </w:p>
    <w:p w:rsidR="00EF1124" w:rsidRPr="00EF1124" w:rsidRDefault="00EF1124" w:rsidP="00EF1124">
      <w:pPr>
        <w:spacing w:afterLines="20" w:after="72"/>
        <w:rPr>
          <w:rFonts w:ascii="Times New Roman" w:eastAsia="標楷體" w:hAnsi="Times New Roman"/>
          <w:b/>
          <w:sz w:val="26"/>
          <w:szCs w:val="26"/>
        </w:rPr>
      </w:pPr>
    </w:p>
    <w:p w:rsidR="00B75AD0" w:rsidRPr="00EF1124" w:rsidRDefault="0021493B" w:rsidP="00D4246D">
      <w:pPr>
        <w:rPr>
          <w:rFonts w:ascii="Times New Roman" w:eastAsia="標楷體" w:hAnsi="標楷體"/>
          <w:b/>
          <w:sz w:val="26"/>
          <w:szCs w:val="26"/>
        </w:rPr>
      </w:pPr>
      <w:r w:rsidRPr="00EF1124">
        <w:rPr>
          <w:rFonts w:ascii="Times New Roman" w:eastAsia="標楷體" w:hAnsi="標楷體"/>
          <w:b/>
          <w:sz w:val="26"/>
          <w:szCs w:val="26"/>
        </w:rPr>
        <w:t>二、應繳資料</w:t>
      </w:r>
      <w:r w:rsidR="00DA3675" w:rsidRPr="00EF1124">
        <w:rPr>
          <w:rFonts w:ascii="Times New Roman" w:eastAsia="標楷體" w:hAnsi="標楷體" w:hint="eastAsia"/>
          <w:b/>
          <w:sz w:val="26"/>
          <w:szCs w:val="26"/>
        </w:rPr>
        <w:t xml:space="preserve"> </w:t>
      </w:r>
      <w:r w:rsidR="00B75AD0" w:rsidRPr="00EF1124">
        <w:rPr>
          <w:rFonts w:ascii="Times New Roman" w:eastAsia="標楷體" w:hAnsi="標楷體" w:hint="eastAsia"/>
          <w:b/>
          <w:sz w:val="26"/>
          <w:szCs w:val="26"/>
        </w:rPr>
        <w:t xml:space="preserve">  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1.</w:t>
      </w:r>
      <w:r w:rsidRPr="00EF1124">
        <w:rPr>
          <w:rFonts w:ascii="Times New Roman" w:eastAsia="標楷體" w:hAnsi="標楷體" w:hint="eastAsia"/>
          <w:sz w:val="26"/>
          <w:szCs w:val="26"/>
        </w:rPr>
        <w:t>推薦函</w:t>
      </w:r>
      <w:r w:rsidRPr="00EF1124">
        <w:rPr>
          <w:rFonts w:ascii="Times New Roman" w:eastAsia="標楷體" w:hAnsi="標楷體" w:hint="eastAsia"/>
          <w:sz w:val="26"/>
          <w:szCs w:val="26"/>
        </w:rPr>
        <w:t>2</w:t>
      </w:r>
      <w:r w:rsidRPr="00EF1124">
        <w:rPr>
          <w:rFonts w:ascii="Times New Roman" w:eastAsia="標楷體" w:hAnsi="標楷體" w:hint="eastAsia"/>
          <w:sz w:val="26"/>
          <w:szCs w:val="26"/>
        </w:rPr>
        <w:t>封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2.</w:t>
      </w:r>
      <w:r w:rsidRPr="00EF1124">
        <w:rPr>
          <w:rFonts w:ascii="Times New Roman" w:eastAsia="標楷體" w:hAnsi="標楷體" w:hint="eastAsia"/>
          <w:sz w:val="26"/>
          <w:szCs w:val="26"/>
        </w:rPr>
        <w:t>簡要自傳、報考動機</w:t>
      </w:r>
      <w:r w:rsidRPr="00EF1124">
        <w:rPr>
          <w:rFonts w:ascii="Times New Roman" w:eastAsia="標楷體" w:hAnsi="標楷體" w:hint="eastAsia"/>
          <w:sz w:val="26"/>
          <w:szCs w:val="26"/>
        </w:rPr>
        <w:t>(3000</w:t>
      </w:r>
      <w:r w:rsidRPr="00EF1124">
        <w:rPr>
          <w:rFonts w:ascii="Times New Roman" w:eastAsia="標楷體" w:hAnsi="標楷體" w:hint="eastAsia"/>
          <w:sz w:val="26"/>
          <w:szCs w:val="26"/>
        </w:rPr>
        <w:t>字以內</w:t>
      </w:r>
      <w:r w:rsidRPr="00EF1124">
        <w:rPr>
          <w:rFonts w:ascii="Times New Roman" w:eastAsia="標楷體" w:hAnsi="標楷體" w:hint="eastAsia"/>
          <w:sz w:val="26"/>
          <w:szCs w:val="26"/>
        </w:rPr>
        <w:t>)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3.</w:t>
      </w:r>
      <w:r w:rsidRPr="00EF1124">
        <w:rPr>
          <w:rFonts w:ascii="Times New Roman" w:eastAsia="標楷體" w:hAnsi="標楷體" w:hint="eastAsia"/>
          <w:sz w:val="26"/>
          <w:szCs w:val="26"/>
        </w:rPr>
        <w:t>讀書計畫及研究計畫</w:t>
      </w:r>
      <w:r w:rsidRPr="00EF1124">
        <w:rPr>
          <w:rFonts w:ascii="Times New Roman" w:eastAsia="標楷體" w:hAnsi="標楷體" w:hint="eastAsia"/>
          <w:sz w:val="26"/>
          <w:szCs w:val="26"/>
        </w:rPr>
        <w:t>(5000</w:t>
      </w:r>
      <w:r w:rsidRPr="00EF1124">
        <w:rPr>
          <w:rFonts w:ascii="Times New Roman" w:eastAsia="標楷體" w:hAnsi="標楷體" w:hint="eastAsia"/>
          <w:sz w:val="26"/>
          <w:szCs w:val="26"/>
        </w:rPr>
        <w:t>字以內</w:t>
      </w:r>
      <w:r w:rsidRPr="00EF1124">
        <w:rPr>
          <w:rFonts w:ascii="Times New Roman" w:eastAsia="標楷體" w:hAnsi="標楷體" w:hint="eastAsia"/>
          <w:sz w:val="26"/>
          <w:szCs w:val="26"/>
        </w:rPr>
        <w:t>)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4.</w:t>
      </w:r>
      <w:r w:rsidRPr="00EF1124">
        <w:rPr>
          <w:rFonts w:ascii="Times New Roman" w:eastAsia="標楷體" w:hAnsi="標楷體" w:hint="eastAsia"/>
          <w:sz w:val="26"/>
          <w:szCs w:val="26"/>
        </w:rPr>
        <w:t>學士、碩士畢業證書及學位證書</w:t>
      </w:r>
      <w:r w:rsidRPr="00EF1124">
        <w:rPr>
          <w:rFonts w:ascii="Times New Roman" w:eastAsia="標楷體" w:hAnsi="標楷體" w:hint="eastAsia"/>
          <w:sz w:val="26"/>
          <w:szCs w:val="26"/>
        </w:rPr>
        <w:t>(</w:t>
      </w:r>
      <w:r w:rsidRPr="00EF1124">
        <w:rPr>
          <w:rFonts w:ascii="Times New Roman" w:eastAsia="標楷體" w:hAnsi="標楷體" w:hint="eastAsia"/>
          <w:sz w:val="26"/>
          <w:szCs w:val="26"/>
        </w:rPr>
        <w:t>往屆畢業生必繳，應屆畢業生免繳</w:t>
      </w:r>
      <w:r w:rsidRPr="00EF1124">
        <w:rPr>
          <w:rFonts w:ascii="Times New Roman" w:eastAsia="標楷體" w:hAnsi="標楷體" w:hint="eastAsia"/>
          <w:sz w:val="26"/>
          <w:szCs w:val="26"/>
        </w:rPr>
        <w:t>)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5.</w:t>
      </w:r>
      <w:r w:rsidRPr="00EF1124">
        <w:rPr>
          <w:rFonts w:ascii="Times New Roman" w:eastAsia="標楷體" w:hAnsi="標楷體" w:hint="eastAsia"/>
          <w:sz w:val="26"/>
          <w:szCs w:val="26"/>
        </w:rPr>
        <w:t>學士及碩士歷年成績單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6.</w:t>
      </w:r>
      <w:r w:rsidRPr="00EF1124">
        <w:rPr>
          <w:rFonts w:ascii="Times New Roman" w:eastAsia="標楷體" w:hAnsi="標楷體" w:hint="eastAsia"/>
          <w:sz w:val="26"/>
          <w:szCs w:val="26"/>
        </w:rPr>
        <w:t>碩士論文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7.</w:t>
      </w:r>
      <w:r w:rsidRPr="00EF1124">
        <w:rPr>
          <w:rFonts w:ascii="Times New Roman" w:eastAsia="標楷體" w:hAnsi="標楷體" w:hint="eastAsia"/>
          <w:sz w:val="26"/>
          <w:szCs w:val="26"/>
        </w:rPr>
        <w:t>學術著作</w:t>
      </w:r>
      <w:r w:rsidRPr="00EF1124">
        <w:rPr>
          <w:rFonts w:ascii="Times New Roman" w:eastAsia="標楷體" w:hAnsi="標楷體" w:hint="eastAsia"/>
          <w:sz w:val="26"/>
          <w:szCs w:val="26"/>
        </w:rPr>
        <w:t>(</w:t>
      </w:r>
      <w:r w:rsidRPr="00EF1124">
        <w:rPr>
          <w:rFonts w:ascii="Times New Roman" w:eastAsia="標楷體" w:hAnsi="標楷體" w:hint="eastAsia"/>
          <w:sz w:val="26"/>
          <w:szCs w:val="26"/>
        </w:rPr>
        <w:t>五篇為限</w:t>
      </w:r>
      <w:r w:rsidRPr="00EF1124">
        <w:rPr>
          <w:rFonts w:ascii="Times New Roman" w:eastAsia="標楷體" w:hAnsi="標楷體" w:hint="eastAsia"/>
          <w:sz w:val="26"/>
          <w:szCs w:val="26"/>
        </w:rPr>
        <w:t>)</w:t>
      </w:r>
    </w:p>
    <w:p w:rsidR="00EF1124" w:rsidRPr="00EF1124" w:rsidRDefault="00EF1124" w:rsidP="00EF1124">
      <w:pPr>
        <w:spacing w:beforeLines="20" w:before="72" w:afterLines="20" w:after="72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8.</w:t>
      </w:r>
      <w:r w:rsidRPr="00EF1124">
        <w:rPr>
          <w:rFonts w:ascii="Times New Roman" w:eastAsia="標楷體" w:hAnsi="標楷體" w:hint="eastAsia"/>
          <w:sz w:val="26"/>
          <w:szCs w:val="26"/>
        </w:rPr>
        <w:t>實務經驗心得報告一篇</w:t>
      </w:r>
      <w:r w:rsidRPr="00EF1124">
        <w:rPr>
          <w:rFonts w:ascii="Times New Roman" w:eastAsia="標楷體" w:hAnsi="標楷體" w:hint="eastAsia"/>
          <w:sz w:val="26"/>
          <w:szCs w:val="26"/>
        </w:rPr>
        <w:t>(</w:t>
      </w:r>
      <w:r w:rsidRPr="00EF1124">
        <w:rPr>
          <w:rFonts w:ascii="Times New Roman" w:eastAsia="標楷體" w:hAnsi="標楷體" w:hint="eastAsia"/>
          <w:sz w:val="26"/>
          <w:szCs w:val="26"/>
        </w:rPr>
        <w:t>無實務工作經驗者請勿報考</w:t>
      </w:r>
      <w:r w:rsidRPr="00EF1124">
        <w:rPr>
          <w:rFonts w:ascii="Times New Roman" w:eastAsia="標楷體" w:hAnsi="標楷體" w:hint="eastAsia"/>
          <w:sz w:val="26"/>
          <w:szCs w:val="26"/>
        </w:rPr>
        <w:t>)</w:t>
      </w:r>
    </w:p>
    <w:p w:rsidR="00EF1124" w:rsidRDefault="00EF1124" w:rsidP="00EF1124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  <w:r w:rsidRPr="00EF1124">
        <w:rPr>
          <w:rFonts w:ascii="Times New Roman" w:eastAsia="標楷體" w:hAnsi="標楷體" w:hint="eastAsia"/>
          <w:sz w:val="26"/>
          <w:szCs w:val="26"/>
        </w:rPr>
        <w:t>9.</w:t>
      </w:r>
      <w:r w:rsidRPr="00EF1124">
        <w:rPr>
          <w:rFonts w:ascii="Times New Roman" w:eastAsia="標楷體" w:hAnsi="標楷體" w:hint="eastAsia"/>
          <w:sz w:val="26"/>
          <w:szCs w:val="26"/>
        </w:rPr>
        <w:t>簡歷（含學經歷、專長、所有著作名稱目錄等）乙份；現職、工作經歷相關證明影本乙份</w:t>
      </w:r>
    </w:p>
    <w:p w:rsidR="00E3577A" w:rsidRDefault="00E3577A" w:rsidP="00EF1124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</w:p>
    <w:p w:rsidR="00E3577A" w:rsidRPr="00A94E9B" w:rsidRDefault="00A94E9B" w:rsidP="00B12B94">
      <w:pPr>
        <w:spacing w:beforeLines="20" w:before="72" w:afterLines="20" w:after="72"/>
        <w:ind w:left="260" w:hangingChars="100" w:hanging="260"/>
        <w:rPr>
          <w:rFonts w:ascii="標楷體" w:eastAsia="標楷體" w:hAnsi="標楷體"/>
          <w:b/>
          <w:sz w:val="26"/>
          <w:szCs w:val="26"/>
        </w:rPr>
      </w:pPr>
      <w:r w:rsidRPr="00A94E9B">
        <w:rPr>
          <w:rFonts w:ascii="標楷體" w:eastAsia="標楷體" w:hAnsi="標楷體" w:hint="eastAsia"/>
          <w:b/>
          <w:sz w:val="26"/>
          <w:szCs w:val="26"/>
        </w:rPr>
        <w:t>三、</w:t>
      </w:r>
      <w:r w:rsidR="00E3577A" w:rsidRPr="00A94E9B">
        <w:rPr>
          <w:rFonts w:ascii="標楷體" w:eastAsia="標楷體" w:hAnsi="標楷體" w:hint="eastAsia"/>
          <w:b/>
          <w:sz w:val="26"/>
          <w:szCs w:val="26"/>
        </w:rPr>
        <w:t>獎學金：</w:t>
      </w:r>
    </w:p>
    <w:p w:rsidR="00B12B94" w:rsidRPr="00B12B94" w:rsidRDefault="00B12B94" w:rsidP="00B12B94">
      <w:pPr>
        <w:autoSpaceDE w:val="0"/>
        <w:autoSpaceDN w:val="0"/>
        <w:adjustRightInd w:val="0"/>
        <w:spacing w:afterLines="30" w:after="108" w:line="400" w:lineRule="exact"/>
        <w:ind w:left="2"/>
        <w:jc w:val="both"/>
        <w:rPr>
          <w:rFonts w:ascii="標楷體" w:eastAsia="標楷體" w:hAnsi="標楷體"/>
          <w:kern w:val="0"/>
          <w:sz w:val="26"/>
          <w:szCs w:val="26"/>
        </w:rPr>
      </w:pPr>
      <w:r w:rsidRPr="00B12B94">
        <w:rPr>
          <w:rFonts w:ascii="標楷體" w:eastAsia="標楷體" w:hAnsi="標楷體" w:hint="eastAsia"/>
          <w:kern w:val="0"/>
          <w:sz w:val="26"/>
          <w:szCs w:val="26"/>
        </w:rPr>
        <w:t>本校博士班各入學管道錄取並註冊入學就讀之新生（含境外學生），獎助其第一、二學年獎</w:t>
      </w:r>
      <w:r w:rsidRPr="00B12B94">
        <w:rPr>
          <w:rFonts w:ascii="標楷體" w:eastAsia="標楷體" w:hAnsi="標楷體"/>
          <w:kern w:val="0"/>
          <w:sz w:val="26"/>
          <w:szCs w:val="26"/>
        </w:rPr>
        <w:t>學金</w:t>
      </w:r>
      <w:r w:rsidRPr="00B12B94">
        <w:rPr>
          <w:rFonts w:ascii="標楷體" w:eastAsia="標楷體" w:hAnsi="標楷體" w:hint="eastAsia"/>
          <w:kern w:val="0"/>
          <w:sz w:val="26"/>
          <w:szCs w:val="26"/>
        </w:rPr>
        <w:t>共10萬元。</w:t>
      </w:r>
    </w:p>
    <w:p w:rsidR="00B12B94" w:rsidRDefault="00B12B94" w:rsidP="00EF1124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</w:p>
    <w:p w:rsidR="002200BC" w:rsidRPr="00A94E9B" w:rsidRDefault="00A94E9B" w:rsidP="002200BC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b/>
          <w:sz w:val="26"/>
          <w:szCs w:val="26"/>
        </w:rPr>
      </w:pPr>
      <w:r w:rsidRPr="00A94E9B">
        <w:rPr>
          <w:rFonts w:ascii="Times New Roman" w:eastAsia="標楷體" w:hAnsi="標楷體" w:hint="eastAsia"/>
          <w:b/>
          <w:sz w:val="26"/>
          <w:szCs w:val="26"/>
        </w:rPr>
        <w:t>四、</w:t>
      </w:r>
      <w:r w:rsidR="002200BC" w:rsidRPr="00A94E9B">
        <w:rPr>
          <w:rFonts w:ascii="Times New Roman" w:eastAsia="標楷體" w:hAnsi="標楷體" w:hint="eastAsia"/>
          <w:b/>
          <w:sz w:val="26"/>
          <w:szCs w:val="26"/>
        </w:rPr>
        <w:t>修業規則</w:t>
      </w:r>
      <w:r w:rsidRPr="00A94E9B">
        <w:rPr>
          <w:rFonts w:ascii="Times New Roman" w:eastAsia="標楷體" w:hAnsi="標楷體" w:hint="eastAsia"/>
          <w:b/>
          <w:sz w:val="26"/>
          <w:szCs w:val="26"/>
        </w:rPr>
        <w:t>參考</w:t>
      </w: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  <w:r w:rsidRPr="00A94E9B">
        <w:rPr>
          <w:rFonts w:ascii="細明體" w:eastAsia="細明體" w:hAnsi="Courier New" w:hint="eastAsia"/>
          <w:b/>
          <w:sz w:val="32"/>
          <w:szCs w:val="32"/>
        </w:rPr>
        <w:t>東海大學社會工作學系博士班修業規則</w:t>
      </w:r>
    </w:p>
    <w:p w:rsidR="00A94E9B" w:rsidRPr="00A94E9B" w:rsidRDefault="00A94E9B" w:rsidP="00A94E9B">
      <w:pPr>
        <w:snapToGrid w:val="0"/>
        <w:spacing w:line="240" w:lineRule="atLeast"/>
        <w:ind w:right="354"/>
        <w:jc w:val="both"/>
        <w:rPr>
          <w:rFonts w:ascii="Times New Roman" w:eastAsia="細明體" w:hAnsi="Times New Roman"/>
          <w:b/>
          <w:color w:val="000000"/>
          <w:sz w:val="16"/>
          <w:szCs w:val="20"/>
        </w:rPr>
      </w:pPr>
      <w:r w:rsidRPr="00A94E9B">
        <w:rPr>
          <w:rFonts w:ascii="細明體" w:eastAsia="細明體" w:hAnsi="Courier New" w:hint="eastAsia"/>
          <w:sz w:val="16"/>
          <w:szCs w:val="20"/>
        </w:rPr>
        <w:t>83年5月24日所務會議通過；85年10月23日、85年11月5日、86年6月26日、86年7月14日、86年9月10日、86年9月23日、86年10月21日、86年11月4日、87年4月21日、87年6月29日、89年6月22日、90年3月8日、90年10月25日、92年1月8日、92年3月19日、92年5月7日、93年2月18日</w:t>
      </w:r>
      <w:r w:rsidRPr="00A94E9B">
        <w:rPr>
          <w:rFonts w:ascii="細明體" w:eastAsia="細明體" w:hAnsi="Courier New" w:hint="eastAsia"/>
          <w:b/>
          <w:sz w:val="16"/>
          <w:szCs w:val="20"/>
        </w:rPr>
        <w:t>、</w:t>
      </w:r>
      <w:r w:rsidRPr="00A94E9B">
        <w:rPr>
          <w:rFonts w:ascii="細明體" w:eastAsia="細明體" w:hAnsi="Courier New" w:hint="eastAsia"/>
          <w:sz w:val="16"/>
          <w:szCs w:val="20"/>
        </w:rPr>
        <w:t>94年1月12日、94年2月23日、94年3月16日、94年4月20日、94年12月14日、95年1月11日、95年6月14日、96年2月27日、96年9月19日、97年3月19日</w:t>
      </w:r>
      <w:r w:rsidRPr="00A94E9B">
        <w:rPr>
          <w:rFonts w:ascii="細明體" w:eastAsia="細明體" w:hAnsi="Courier New" w:hint="eastAsia"/>
          <w:b/>
          <w:sz w:val="16"/>
          <w:szCs w:val="20"/>
        </w:rPr>
        <w:t>、</w:t>
      </w:r>
      <w:r w:rsidRPr="00A94E9B">
        <w:rPr>
          <w:rFonts w:ascii="細明體" w:eastAsia="細明體" w:hAnsi="Courier New" w:hint="eastAsia"/>
          <w:sz w:val="16"/>
          <w:szCs w:val="20"/>
        </w:rPr>
        <w:t>97年6月18日、98年3月17日、97年11月25日、</w:t>
      </w:r>
      <w:r w:rsidRPr="00A94E9B">
        <w:rPr>
          <w:rFonts w:ascii="細明體" w:eastAsia="細明體" w:hAnsi="Courier New" w:hint="eastAsia"/>
          <w:color w:val="000000"/>
          <w:sz w:val="16"/>
          <w:szCs w:val="20"/>
        </w:rPr>
        <w:t>99年4月6日</w:t>
      </w:r>
      <w:r w:rsidRPr="00A94E9B">
        <w:rPr>
          <w:rFonts w:ascii="細明體" w:eastAsia="細明體" w:hAnsi="Courier New" w:hint="eastAsia"/>
          <w:sz w:val="16"/>
          <w:szCs w:val="20"/>
        </w:rPr>
        <w:t>、</w:t>
      </w:r>
      <w:r w:rsidRPr="00A94E9B">
        <w:rPr>
          <w:rFonts w:ascii="細明體" w:eastAsia="細明體" w:hAnsi="Courier New" w:hint="eastAsia"/>
          <w:color w:val="000000"/>
          <w:sz w:val="16"/>
          <w:szCs w:val="20"/>
        </w:rPr>
        <w:t>99年6月8日、100年6月21日、100年10月11日、100年12月6日、101年6月12日</w:t>
      </w:r>
      <w:r w:rsidRPr="00A94E9B">
        <w:rPr>
          <w:rFonts w:ascii="細明體" w:eastAsia="細明體" w:hAnsi="Courier New" w:hint="eastAsia"/>
          <w:b/>
          <w:color w:val="000000"/>
          <w:sz w:val="16"/>
          <w:szCs w:val="20"/>
        </w:rPr>
        <w:t>、</w:t>
      </w:r>
      <w:r w:rsidRPr="00A94E9B">
        <w:rPr>
          <w:rFonts w:ascii="細明體" w:eastAsia="細明體" w:hAnsi="Courier New" w:hint="eastAsia"/>
          <w:color w:val="000000"/>
          <w:sz w:val="16"/>
          <w:szCs w:val="20"/>
        </w:rPr>
        <w:t>101年12月11日</w:t>
      </w:r>
      <w:r w:rsidRPr="00A94E9B">
        <w:rPr>
          <w:rFonts w:ascii="細明體" w:eastAsia="細明體" w:hAnsi="Courier New" w:hint="eastAsia"/>
          <w:b/>
          <w:color w:val="000000"/>
          <w:sz w:val="16"/>
          <w:szCs w:val="20"/>
        </w:rPr>
        <w:t>、</w:t>
      </w:r>
      <w:r w:rsidRPr="00A94E9B">
        <w:rPr>
          <w:rFonts w:ascii="細明體" w:eastAsia="細明體" w:hAnsi="Courier New" w:hint="eastAsia"/>
          <w:color w:val="000000"/>
          <w:sz w:val="16"/>
          <w:szCs w:val="20"/>
        </w:rPr>
        <w:t>103年6月18日、104年3月31日、</w:t>
      </w:r>
      <w:r w:rsidRPr="00A94E9B">
        <w:rPr>
          <w:rFonts w:ascii="細明體" w:eastAsia="細明體" w:hAnsi="Courier New" w:hint="eastAsia"/>
          <w:b/>
          <w:color w:val="000000"/>
          <w:sz w:val="16"/>
          <w:szCs w:val="20"/>
        </w:rPr>
        <w:t>105年11月15日修正。</w:t>
      </w:r>
    </w:p>
    <w:p w:rsidR="00A94E9B" w:rsidRPr="00A94E9B" w:rsidRDefault="00A94E9B" w:rsidP="00A94E9B">
      <w:pPr>
        <w:snapToGrid w:val="0"/>
        <w:spacing w:line="320" w:lineRule="atLeast"/>
        <w:ind w:right="-1594"/>
        <w:rPr>
          <w:rFonts w:ascii="細明體" w:eastAsia="細明體" w:hAnsi="Courier New"/>
          <w:b/>
          <w:color w:val="000000"/>
          <w:szCs w:val="24"/>
        </w:rPr>
      </w:pPr>
    </w:p>
    <w:p w:rsidR="00A94E9B" w:rsidRPr="00A94E9B" w:rsidRDefault="00A94E9B" w:rsidP="00A94E9B">
      <w:pPr>
        <w:snapToGrid w:val="0"/>
        <w:spacing w:line="320" w:lineRule="atLeast"/>
        <w:ind w:right="-1594"/>
        <w:rPr>
          <w:rFonts w:ascii="細明體" w:eastAsia="細明體" w:hAnsi="Courier New"/>
          <w:b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lastRenderedPageBreak/>
        <w:t>***本修業規則適用對象為</w:t>
      </w:r>
      <w:r w:rsidRPr="00A94E9B">
        <w:rPr>
          <w:rFonts w:ascii="細明體" w:eastAsia="細明體" w:hAnsi="Courier New" w:hint="eastAsia"/>
          <w:b/>
          <w:color w:val="FF0000"/>
          <w:szCs w:val="24"/>
        </w:rPr>
        <w:t>10</w:t>
      </w:r>
      <w:r>
        <w:rPr>
          <w:rFonts w:ascii="細明體" w:eastAsia="細明體" w:hAnsi="Courier New" w:hint="eastAsia"/>
          <w:b/>
          <w:color w:val="FF0000"/>
          <w:szCs w:val="24"/>
        </w:rPr>
        <w:t>6</w:t>
      </w:r>
      <w:r w:rsidRPr="00A94E9B">
        <w:rPr>
          <w:rFonts w:ascii="細明體" w:eastAsia="細明體" w:hAnsi="Courier New" w:hint="eastAsia"/>
          <w:b/>
          <w:color w:val="FF0000"/>
          <w:szCs w:val="24"/>
        </w:rPr>
        <w:t>學年度入學研究生（參考版，</w:t>
      </w:r>
      <w:r>
        <w:rPr>
          <w:rFonts w:ascii="細明體" w:eastAsia="細明體" w:hAnsi="Courier New" w:hint="eastAsia"/>
          <w:b/>
          <w:color w:val="FF0000"/>
          <w:szCs w:val="24"/>
        </w:rPr>
        <w:t>107學年度新生以</w:t>
      </w:r>
      <w:r w:rsidRPr="00A94E9B">
        <w:rPr>
          <w:rFonts w:ascii="細明體" w:eastAsia="細明體" w:hAnsi="Courier New" w:hint="eastAsia"/>
          <w:b/>
          <w:color w:val="FF0000"/>
          <w:szCs w:val="24"/>
        </w:rPr>
        <w:t>入學後公告為準）</w:t>
      </w:r>
    </w:p>
    <w:p w:rsidR="00A94E9B" w:rsidRPr="00A94E9B" w:rsidRDefault="00A94E9B" w:rsidP="00A94E9B">
      <w:pPr>
        <w:tabs>
          <w:tab w:val="left" w:pos="14160"/>
        </w:tabs>
        <w:snapToGrid w:val="0"/>
        <w:spacing w:line="320" w:lineRule="atLeast"/>
        <w:ind w:right="-207"/>
        <w:rPr>
          <w:rFonts w:ascii="細明體" w:eastAsia="細明體" w:hAnsi="Courier New"/>
          <w:color w:val="000000"/>
          <w:szCs w:val="24"/>
        </w:rPr>
      </w:pP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 xml:space="preserve">第一條 宗旨 </w:t>
      </w:r>
    </w:p>
    <w:p w:rsidR="00A94E9B" w:rsidRPr="00A94E9B" w:rsidRDefault="00A94E9B" w:rsidP="00A94E9B">
      <w:pPr>
        <w:snapToGrid w:val="0"/>
        <w:spacing w:line="320" w:lineRule="atLeast"/>
        <w:ind w:right="-207" w:firstLineChars="200" w:firstLine="480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一、本系博士班教育目標﹕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1.培育社會工作專精領域的學術人才。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2.培育社工理論與研究並重的教育人才。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3.培育社會福利政策規劃與評鑑的領導人才。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200" w:firstLine="480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二、本系博士班核心能力﹕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jc w:val="both"/>
        <w:rPr>
          <w:rFonts w:ascii="新細明體" w:eastAsia="細明體" w:hAnsi="新細明體" w:cs="新細明體"/>
          <w:color w:val="000000"/>
          <w:kern w:val="0"/>
          <w:szCs w:val="20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1</w:t>
      </w:r>
      <w:r w:rsidRPr="00A94E9B">
        <w:rPr>
          <w:rFonts w:ascii="新細明體" w:eastAsia="細明體" w:hAnsi="新細明體" w:cs="新細明體" w:hint="eastAsia"/>
          <w:color w:val="000000"/>
          <w:kern w:val="0"/>
          <w:szCs w:val="20"/>
        </w:rPr>
        <w:t>.</w:t>
      </w:r>
      <w:r w:rsidRPr="00A94E9B">
        <w:rPr>
          <w:rFonts w:ascii="新細明體" w:eastAsia="細明體" w:hAnsi="新細明體" w:cs="新細明體" w:hint="eastAsia"/>
          <w:color w:val="000000"/>
          <w:kern w:val="0"/>
          <w:szCs w:val="20"/>
        </w:rPr>
        <w:t>具備社會工作理論及服務輸送的專業能力。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jc w:val="both"/>
        <w:rPr>
          <w:rFonts w:ascii="新細明體" w:eastAsia="細明體" w:hAnsi="新細明體" w:cs="新細明體"/>
          <w:color w:val="000000"/>
          <w:kern w:val="0"/>
          <w:szCs w:val="20"/>
        </w:rPr>
      </w:pPr>
      <w:r w:rsidRPr="00A94E9B">
        <w:rPr>
          <w:rFonts w:ascii="新細明體" w:eastAsia="細明體" w:hAnsi="新細明體" w:cs="新細明體" w:hint="eastAsia"/>
          <w:color w:val="000000"/>
          <w:kern w:val="0"/>
          <w:szCs w:val="20"/>
        </w:rPr>
        <w:t>2.</w:t>
      </w:r>
      <w:r w:rsidRPr="00A94E9B">
        <w:rPr>
          <w:rFonts w:ascii="新細明體" w:eastAsia="細明體" w:hAnsi="新細明體" w:cs="新細明體" w:hint="eastAsia"/>
          <w:color w:val="000000"/>
          <w:kern w:val="0"/>
          <w:szCs w:val="20"/>
        </w:rPr>
        <w:t>具備分析、制定政策，判析服務效益的能力。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jc w:val="both"/>
        <w:rPr>
          <w:rFonts w:ascii="細明體" w:eastAsia="細明體" w:hAnsi="Courier New"/>
          <w:color w:val="000000"/>
          <w:kern w:val="0"/>
          <w:szCs w:val="20"/>
        </w:rPr>
      </w:pPr>
      <w:r w:rsidRPr="00A94E9B">
        <w:rPr>
          <w:rFonts w:ascii="細明體" w:eastAsia="細明體" w:hAnsi="Courier New" w:hint="eastAsia"/>
          <w:color w:val="000000"/>
          <w:kern w:val="0"/>
          <w:szCs w:val="20"/>
        </w:rPr>
        <w:t>3.具備社會關懷--助人專業研究的能力。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jc w:val="both"/>
        <w:rPr>
          <w:rFonts w:ascii="細明體" w:eastAsia="細明體" w:hAnsi="Courier New"/>
          <w:color w:val="000000"/>
          <w:kern w:val="0"/>
          <w:szCs w:val="24"/>
        </w:rPr>
      </w:pPr>
      <w:r w:rsidRPr="00A94E9B">
        <w:rPr>
          <w:rFonts w:ascii="細明體" w:eastAsia="細明體" w:hAnsi="Courier New" w:hint="eastAsia"/>
          <w:color w:val="000000"/>
          <w:kern w:val="0"/>
          <w:szCs w:val="24"/>
        </w:rPr>
        <w:t>4.具備講授大學課程的教學能力。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第二條  修業辦法﹕</w:t>
      </w:r>
    </w:p>
    <w:p w:rsidR="00A94E9B" w:rsidRPr="00A94E9B" w:rsidRDefault="00A94E9B" w:rsidP="00A94E9B">
      <w:pPr>
        <w:numPr>
          <w:ilvl w:val="0"/>
          <w:numId w:val="4"/>
        </w:numPr>
        <w:tabs>
          <w:tab w:val="num" w:pos="960"/>
          <w:tab w:val="left" w:pos="10200"/>
        </w:tabs>
        <w:snapToGrid w:val="0"/>
        <w:spacing w:line="320" w:lineRule="atLeast"/>
        <w:ind w:left="96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修業年限﹕修業年限依教育部頒訂之大學法及其施行細則規定，博士班研究生修業年</w:t>
      </w:r>
    </w:p>
    <w:p w:rsidR="00A94E9B" w:rsidRPr="00A94E9B" w:rsidRDefault="00A94E9B" w:rsidP="00A94E9B">
      <w:pPr>
        <w:tabs>
          <w:tab w:val="left" w:pos="10200"/>
        </w:tabs>
        <w:snapToGrid w:val="0"/>
        <w:spacing w:line="320" w:lineRule="atLeast"/>
        <w:ind w:leftChars="900" w:left="216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限為二至七年。【可另外休學年二年，特殊休學二年(須經教務長核准)。】</w:t>
      </w:r>
    </w:p>
    <w:p w:rsidR="00A94E9B" w:rsidRPr="00A94E9B" w:rsidRDefault="00A94E9B" w:rsidP="00A94E9B">
      <w:pPr>
        <w:numPr>
          <w:ilvl w:val="0"/>
          <w:numId w:val="4"/>
        </w:numPr>
        <w:tabs>
          <w:tab w:val="num" w:pos="960"/>
        </w:tabs>
        <w:snapToGrid w:val="0"/>
        <w:spacing w:line="320" w:lineRule="atLeast"/>
        <w:ind w:left="96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學    分﹕本系博士班研究生至少應修畢33學分，另加博士論文12學分，合計45</w:t>
      </w:r>
    </w:p>
    <w:p w:rsidR="00A94E9B" w:rsidRPr="00A94E9B" w:rsidRDefault="00A94E9B" w:rsidP="00A94E9B">
      <w:pPr>
        <w:snapToGrid w:val="0"/>
        <w:spacing w:line="320" w:lineRule="atLeast"/>
        <w:ind w:left="48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            學分為畢業學分。</w:t>
      </w:r>
    </w:p>
    <w:p w:rsidR="00A94E9B" w:rsidRPr="00A94E9B" w:rsidRDefault="00A94E9B" w:rsidP="00A94E9B">
      <w:pPr>
        <w:numPr>
          <w:ilvl w:val="0"/>
          <w:numId w:val="4"/>
        </w:numPr>
        <w:tabs>
          <w:tab w:val="num" w:pos="960"/>
        </w:tabs>
        <w:snapToGrid w:val="0"/>
        <w:spacing w:line="320" w:lineRule="atLeast"/>
        <w:ind w:left="96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關於全時學生及在職學生之規定﹕</w:t>
      </w:r>
    </w:p>
    <w:p w:rsidR="00A94E9B" w:rsidRPr="00A94E9B" w:rsidRDefault="00A94E9B" w:rsidP="00A94E9B">
      <w:pPr>
        <w:numPr>
          <w:ilvl w:val="0"/>
          <w:numId w:val="5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研究生分為全時學生及在職學生兩種。</w:t>
      </w:r>
    </w:p>
    <w:p w:rsidR="00A94E9B" w:rsidRPr="00A94E9B" w:rsidRDefault="00A94E9B" w:rsidP="00A94E9B">
      <w:pPr>
        <w:numPr>
          <w:ilvl w:val="0"/>
          <w:numId w:val="5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若為全時學生須取得離職證明書或任職機構同意請假一年之證明書。</w:t>
      </w:r>
    </w:p>
    <w:p w:rsidR="00A94E9B" w:rsidRPr="00A94E9B" w:rsidRDefault="00A94E9B" w:rsidP="00A94E9B">
      <w:pPr>
        <w:numPr>
          <w:ilvl w:val="0"/>
          <w:numId w:val="5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凡領有研究生獎助學金之研究生，均有義務履行「獎助學金審查暨施行細則」之相關規定。</w:t>
      </w:r>
    </w:p>
    <w:p w:rsidR="00A94E9B" w:rsidRPr="00A94E9B" w:rsidRDefault="00A94E9B" w:rsidP="00A94E9B">
      <w:pPr>
        <w:numPr>
          <w:ilvl w:val="0"/>
          <w:numId w:val="5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全時學生不得有其他兼職(除在本系兼課或擔任專任教師研究助理領月薪七千元以下者)</w:t>
      </w:r>
    </w:p>
    <w:p w:rsidR="00A94E9B" w:rsidRPr="00A94E9B" w:rsidRDefault="00A94E9B" w:rsidP="00A94E9B">
      <w:pPr>
        <w:numPr>
          <w:ilvl w:val="0"/>
          <w:numId w:val="5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在職學生之修業年限需較全時學生多一年，修業年限最少為六學期。</w:t>
      </w:r>
    </w:p>
    <w:p w:rsidR="00A94E9B" w:rsidRPr="00A94E9B" w:rsidRDefault="00A94E9B" w:rsidP="00A94E9B">
      <w:pPr>
        <w:snapToGrid w:val="0"/>
        <w:spacing w:line="320" w:lineRule="atLeast"/>
        <w:ind w:left="841" w:right="-207" w:hangingChars="350" w:hanging="841"/>
        <w:jc w:val="both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新細明體" w:eastAsia="細明體" w:hAnsi="新細明體" w:hint="eastAsia"/>
          <w:b/>
          <w:szCs w:val="24"/>
        </w:rPr>
        <w:t xml:space="preserve">   </w:t>
      </w:r>
      <w:r w:rsidRPr="00A94E9B">
        <w:rPr>
          <w:rFonts w:ascii="新細明體" w:eastAsia="細明體" w:hAnsi="新細明體" w:hint="eastAsia"/>
          <w:szCs w:val="24"/>
        </w:rPr>
        <w:t>四、補修規定</w:t>
      </w:r>
      <w:r w:rsidRPr="00A94E9B">
        <w:rPr>
          <w:rFonts w:ascii="新細明體" w:eastAsia="細明體" w:hAnsi="新細明體"/>
          <w:szCs w:val="24"/>
        </w:rPr>
        <w:t>—</w:t>
      </w:r>
      <w:r w:rsidRPr="00A94E9B">
        <w:rPr>
          <w:rFonts w:ascii="新細明體" w:eastAsia="細明體" w:hAnsi="新細明體" w:hint="eastAsia"/>
          <w:szCs w:val="24"/>
        </w:rPr>
        <w:t>1.</w:t>
      </w:r>
      <w:r w:rsidRPr="00A94E9B">
        <w:rPr>
          <w:rFonts w:ascii="新細明體" w:eastAsia="細明體" w:hAnsi="新細明體" w:hint="eastAsia"/>
          <w:szCs w:val="24"/>
        </w:rPr>
        <w:t>學士班</w:t>
      </w:r>
      <w:r w:rsidRPr="00A94E9B">
        <w:rPr>
          <w:rFonts w:ascii="細明體" w:eastAsia="細明體" w:hAnsi="Courier New" w:hint="eastAsia"/>
          <w:szCs w:val="24"/>
        </w:rPr>
        <w:t>、碩士班皆未修社會工作實習之研究生，必須加修碩士班所開之「社會工作實習」課程一單元二學分，該社會工作實習學分不得列入畢業學分計算。2.</w:t>
      </w:r>
      <w:r w:rsidRPr="00A94E9B">
        <w:rPr>
          <w:rFonts w:ascii="新細明體" w:eastAsia="細明體" w:hAnsi="新細明體" w:cs="新細明體" w:hint="eastAsia"/>
          <w:color w:val="000000"/>
          <w:kern w:val="0"/>
          <w:szCs w:val="24"/>
        </w:rPr>
        <w:t>博士生新生入學後，由博士班試務委員會審核新生的學士、碩士班修業成績單，必要時要求新生補修碩士班學分，特別是研究法、統計與社會福利政策課程，補修碩士班課程需於修習博士班相關名稱必修課程之前完成。</w:t>
      </w:r>
    </w:p>
    <w:p w:rsidR="00A94E9B" w:rsidRPr="00A94E9B" w:rsidRDefault="00A94E9B" w:rsidP="00A94E9B">
      <w:pPr>
        <w:numPr>
          <w:ilvl w:val="0"/>
          <w:numId w:val="12"/>
        </w:numPr>
        <w:tabs>
          <w:tab w:val="num" w:pos="960"/>
        </w:tabs>
        <w:snapToGrid w:val="0"/>
        <w:spacing w:line="320" w:lineRule="atLeast"/>
        <w:ind w:left="960" w:right="-207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hint="eastAsia"/>
          <w:color w:val="000000"/>
          <w:szCs w:val="24"/>
        </w:rPr>
        <w:t>畢業前英語能力要求：應於畢業前符合下列任何一項語言能力之要求</w:t>
      </w:r>
      <w:r w:rsidRPr="00A94E9B">
        <w:rPr>
          <w:rFonts w:ascii="新細明體" w:hAnsi="新細明體"/>
          <w:color w:val="000000"/>
          <w:szCs w:val="24"/>
        </w:rPr>
        <w:t>—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leftChars="300" w:left="1920" w:hangingChars="500" w:hanging="1200"/>
        <w:jc w:val="both"/>
        <w:rPr>
          <w:rFonts w:ascii="新細明體" w:hAnsi="新細明體"/>
          <w:color w:val="000000"/>
          <w:sz w:val="22"/>
        </w:rPr>
      </w:pPr>
      <w:r w:rsidRPr="00A94E9B">
        <w:rPr>
          <w:rFonts w:ascii="新細明體" w:hAnsi="新細明體" w:hint="eastAsia"/>
          <w:color w:val="000000"/>
          <w:szCs w:val="24"/>
        </w:rPr>
        <w:t>1.英語文：</w:t>
      </w:r>
      <w:r w:rsidRPr="00A94E9B">
        <w:rPr>
          <w:rFonts w:ascii="細明體" w:eastAsia="細明體" w:hAnsi="Courier New" w:hint="eastAsia"/>
          <w:color w:val="000000"/>
          <w:szCs w:val="20"/>
        </w:rPr>
        <w:t>托福iBT（</w:t>
      </w:r>
      <w:r w:rsidRPr="00A94E9B">
        <w:rPr>
          <w:rFonts w:ascii="細明體" w:eastAsia="細明體" w:hAnsi="Courier New"/>
          <w:color w:val="000000"/>
          <w:szCs w:val="20"/>
        </w:rPr>
        <w:t>The Internet-based TOEFL Test</w:t>
      </w:r>
      <w:r w:rsidRPr="00A94E9B">
        <w:rPr>
          <w:rFonts w:ascii="細明體" w:eastAsia="細明體" w:hAnsi="Courier New" w:hint="eastAsia"/>
          <w:color w:val="000000"/>
          <w:szCs w:val="20"/>
        </w:rPr>
        <w:t>）成績達61分以上</w:t>
      </w:r>
      <w:r w:rsidRPr="00A94E9B">
        <w:rPr>
          <w:rFonts w:ascii="新細明體" w:hAnsi="新細明體" w:hint="eastAsia"/>
          <w:color w:val="000000"/>
          <w:szCs w:val="24"/>
        </w:rPr>
        <w:t>。</w:t>
      </w:r>
      <w:r w:rsidRPr="00A94E9B">
        <w:rPr>
          <w:rFonts w:ascii="新細明體" w:hAnsi="新細明體" w:hint="eastAsia"/>
          <w:color w:val="000000"/>
          <w:sz w:val="22"/>
        </w:rPr>
        <w:t>【101學年度起適用】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firstLineChars="300" w:firstLine="72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hint="eastAsia"/>
          <w:color w:val="000000"/>
          <w:szCs w:val="24"/>
        </w:rPr>
        <w:t>2.通過全民英語能力分級檢定測驗(GEPT)之中高級初試檢定。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firstLineChars="300" w:firstLine="72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hint="eastAsia"/>
          <w:color w:val="000000"/>
          <w:szCs w:val="24"/>
        </w:rPr>
        <w:t>3.在英語系國家選修專業正式課程，並提出相關證明。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firstLineChars="300" w:firstLine="720"/>
        <w:jc w:val="both"/>
        <w:rPr>
          <w:rFonts w:ascii="新細明體" w:hAnsi="新細明體"/>
          <w:color w:val="000000"/>
          <w:kern w:val="0"/>
          <w:szCs w:val="24"/>
        </w:rPr>
      </w:pPr>
      <w:r w:rsidRPr="00A94E9B">
        <w:rPr>
          <w:rFonts w:ascii="新細明體" w:hAnsi="新細明體" w:hint="eastAsia"/>
          <w:color w:val="000000"/>
          <w:szCs w:val="24"/>
        </w:rPr>
        <w:t>4.通過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多益測驗TOEIC700分以上。【20121211新增】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firstLineChars="300" w:firstLine="720"/>
        <w:jc w:val="both"/>
        <w:rPr>
          <w:rFonts w:ascii="新細明體" w:hAnsi="新細明體"/>
          <w:color w:val="000000"/>
          <w:kern w:val="0"/>
          <w:szCs w:val="24"/>
        </w:rPr>
      </w:pPr>
      <w:r w:rsidRPr="00A94E9B">
        <w:rPr>
          <w:rFonts w:ascii="新細明體" w:hAnsi="新細明體" w:hint="eastAsia"/>
          <w:color w:val="000000"/>
          <w:kern w:val="0"/>
          <w:szCs w:val="24"/>
        </w:rPr>
        <w:t>5.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雅思</w:t>
      </w:r>
      <w:r w:rsidRPr="00A94E9B">
        <w:rPr>
          <w:rFonts w:ascii="SimSun" w:hAnsi="SimSun" w:cs="新細明體" w:hint="eastAsia"/>
          <w:color w:val="000000"/>
          <w:kern w:val="0"/>
          <w:szCs w:val="24"/>
        </w:rPr>
        <w:t>（</w:t>
      </w:r>
      <w:r w:rsidRPr="00A94E9B">
        <w:rPr>
          <w:rFonts w:ascii="SimSun" w:hAnsi="SimSun" w:cs="新細明體" w:hint="eastAsia"/>
          <w:color w:val="000000"/>
          <w:kern w:val="0"/>
          <w:szCs w:val="24"/>
        </w:rPr>
        <w:t>IELTS</w:t>
      </w:r>
      <w:r w:rsidRPr="00A94E9B">
        <w:rPr>
          <w:rFonts w:ascii="SimSun" w:hAnsi="SimSun" w:cs="新細明體"/>
          <w:color w:val="000000"/>
          <w:kern w:val="0"/>
          <w:szCs w:val="24"/>
        </w:rPr>
        <w:t>）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成績</w:t>
      </w:r>
      <w:r w:rsidRPr="00A94E9B">
        <w:rPr>
          <w:rFonts w:ascii="SimSun" w:hAnsi="SimSun" w:cs="新細明體" w:hint="eastAsia"/>
          <w:color w:val="000000"/>
          <w:kern w:val="0"/>
          <w:szCs w:val="24"/>
        </w:rPr>
        <w:t>達</w:t>
      </w:r>
      <w:r w:rsidRPr="00A94E9B">
        <w:rPr>
          <w:rFonts w:ascii="新細明體" w:eastAsia="細明體" w:hAnsi="新細明體" w:cs="新細明體"/>
          <w:color w:val="000000"/>
          <w:kern w:val="0"/>
          <w:szCs w:val="24"/>
        </w:rPr>
        <w:t>5.5</w:t>
      </w:r>
      <w:r w:rsidRPr="00A94E9B">
        <w:rPr>
          <w:rFonts w:ascii="新細明體" w:eastAsia="細明體" w:hAnsi="新細明體" w:cs="新細明體" w:hint="eastAsia"/>
          <w:color w:val="000000"/>
          <w:kern w:val="0"/>
          <w:szCs w:val="24"/>
        </w:rPr>
        <w:t>以上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。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【20140618新增】</w:t>
      </w:r>
    </w:p>
    <w:p w:rsidR="00A94E9B" w:rsidRPr="00A94E9B" w:rsidRDefault="00A94E9B" w:rsidP="00A94E9B">
      <w:pPr>
        <w:spacing w:line="0" w:lineRule="atLeast"/>
        <w:ind w:firstLineChars="300" w:firstLine="720"/>
        <w:jc w:val="both"/>
        <w:rPr>
          <w:rFonts w:ascii="新細明體" w:hAnsi="新細明體"/>
          <w:color w:val="000000"/>
          <w:kern w:val="0"/>
          <w:szCs w:val="24"/>
        </w:rPr>
      </w:pPr>
      <w:r w:rsidRPr="00A94E9B">
        <w:rPr>
          <w:rFonts w:ascii="SimSun" w:hAnsi="SimSun" w:cs="新細明體" w:hint="eastAsia"/>
          <w:color w:val="000000"/>
          <w:kern w:val="0"/>
          <w:szCs w:val="24"/>
        </w:rPr>
        <w:t>6.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大陸大學英語四六級（</w:t>
      </w:r>
      <w:r w:rsidRPr="00A94E9B">
        <w:rPr>
          <w:rFonts w:ascii="新細明體" w:eastAsia="細明體" w:hAnsi="新細明體" w:cs="新細明體"/>
          <w:color w:val="000000"/>
          <w:kern w:val="0"/>
          <w:szCs w:val="24"/>
        </w:rPr>
        <w:t>CET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）合格或</w:t>
      </w:r>
      <w:r w:rsidRPr="00A94E9B">
        <w:rPr>
          <w:rFonts w:ascii="新細明體" w:eastAsia="細明體" w:hAnsi="新細明體" w:cs="新細明體"/>
          <w:color w:val="000000"/>
          <w:kern w:val="0"/>
          <w:szCs w:val="24"/>
        </w:rPr>
        <w:t>426</w:t>
      </w:r>
      <w:r w:rsidRPr="00A94E9B">
        <w:rPr>
          <w:rFonts w:ascii="SimSun" w:eastAsia="SimSun" w:hAnsi="SimSun" w:cs="新細明體" w:hint="eastAsia"/>
          <w:color w:val="000000"/>
          <w:kern w:val="0"/>
          <w:szCs w:val="24"/>
        </w:rPr>
        <w:t>分</w:t>
      </w:r>
      <w:r w:rsidRPr="00A94E9B">
        <w:rPr>
          <w:rFonts w:ascii="SimSun" w:hAnsi="SimSun" w:cs="新細明體" w:hint="eastAsia"/>
          <w:color w:val="000000"/>
          <w:kern w:val="0"/>
          <w:szCs w:val="24"/>
        </w:rPr>
        <w:t>以上。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【20140618新增】</w:t>
      </w:r>
    </w:p>
    <w:p w:rsidR="00A94E9B" w:rsidRPr="00A94E9B" w:rsidRDefault="00A94E9B" w:rsidP="00A94E9B">
      <w:pPr>
        <w:widowControl/>
        <w:ind w:firstLineChars="300" w:firstLine="721"/>
        <w:jc w:val="both"/>
        <w:rPr>
          <w:rFonts w:ascii="新細明體" w:hAnsi="新細明體" w:cs="新細明體"/>
          <w:b/>
          <w:color w:val="000000"/>
          <w:kern w:val="0"/>
          <w:szCs w:val="24"/>
        </w:rPr>
      </w:pPr>
      <w:r w:rsidRPr="00A94E9B">
        <w:rPr>
          <w:rFonts w:ascii="新細明體" w:hAnsi="新細明體" w:cs="新細明體" w:hint="eastAsia"/>
          <w:b/>
          <w:color w:val="000000"/>
          <w:kern w:val="0"/>
          <w:szCs w:val="24"/>
        </w:rPr>
        <w:t>7.與英語中心研議是否有其他搭配考驗英文能力之選擇方式（修課、測驗</w:t>
      </w:r>
      <w:r w:rsidRPr="00A94E9B">
        <w:rPr>
          <w:rFonts w:ascii="新細明體" w:hAnsi="新細明體" w:cs="新細明體"/>
          <w:b/>
          <w:color w:val="000000"/>
          <w:kern w:val="0"/>
          <w:szCs w:val="24"/>
        </w:rPr>
        <w:t>…</w:t>
      </w:r>
      <w:r w:rsidRPr="00A94E9B">
        <w:rPr>
          <w:rFonts w:ascii="新細明體" w:hAnsi="新細明體" w:cs="新細明體" w:hint="eastAsia"/>
          <w:b/>
          <w:color w:val="000000"/>
          <w:kern w:val="0"/>
          <w:szCs w:val="24"/>
        </w:rPr>
        <w:t>）。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left="880" w:hangingChars="400" w:hanging="880"/>
        <w:jc w:val="both"/>
        <w:rPr>
          <w:rFonts w:ascii="新細明體" w:hAnsi="新細明體"/>
          <w:color w:val="000000"/>
          <w:sz w:val="22"/>
        </w:rPr>
      </w:pPr>
      <w:r w:rsidRPr="00A94E9B">
        <w:rPr>
          <w:rFonts w:ascii="新細明體" w:hAnsi="新細明體" w:hint="eastAsia"/>
          <w:color w:val="000000"/>
          <w:sz w:val="22"/>
        </w:rPr>
        <w:t xml:space="preserve">    六、</w:t>
      </w:r>
      <w:r w:rsidRPr="00A94E9B">
        <w:rPr>
          <w:rFonts w:ascii="細明體" w:eastAsia="細明體" w:hAnsi="Courier New" w:hint="eastAsia"/>
          <w:szCs w:val="20"/>
        </w:rPr>
        <w:t>抵免：重考或依照法令規定先修讀學分後考取修讀學位之研究生，得酌情抵免，抵免學分數以博士班規定畢業學分數三分之二為限【本系博士班畢業學分45學分，可抵免30學分】。但博士班至少應修業二年。另，抵免學分次序以選修課為先。學生得依規定提出申請，由系上做實質學分認定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第三條  課程安排【星期一到星期二中午皆開課為原則】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</w:t>
      </w:r>
      <w:r w:rsidRPr="00A94E9B">
        <w:rPr>
          <w:rFonts w:ascii="細明體" w:eastAsia="細明體" w:hAnsi="Courier New" w:hint="eastAsia"/>
          <w:color w:val="000000"/>
          <w:szCs w:val="24"/>
        </w:rPr>
        <w:t xml:space="preserve"> 一、必修科目﹕(二十四學分)</w:t>
      </w:r>
    </w:p>
    <w:p w:rsidR="00A94E9B" w:rsidRPr="00A94E9B" w:rsidRDefault="00A94E9B" w:rsidP="00A94E9B">
      <w:pPr>
        <w:snapToGrid w:val="0"/>
        <w:spacing w:line="320" w:lineRule="atLeast"/>
        <w:ind w:right="-207" w:firstLineChars="350" w:firstLine="84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>(一)方法論(三學分) 【研究類課程】</w:t>
      </w:r>
    </w:p>
    <w:p w:rsidR="00A94E9B" w:rsidRPr="00A94E9B" w:rsidRDefault="00A94E9B" w:rsidP="00A94E9B">
      <w:pPr>
        <w:snapToGrid w:val="0"/>
        <w:spacing w:line="320" w:lineRule="atLeast"/>
        <w:ind w:leftChars="300" w:left="720" w:right="-207" w:firstLineChars="50" w:firstLine="12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>(二)社會工作理論(三學分) 【理論類課程】</w:t>
      </w:r>
    </w:p>
    <w:p w:rsidR="00A94E9B" w:rsidRPr="00A94E9B" w:rsidRDefault="00A94E9B" w:rsidP="00A94E9B">
      <w:pPr>
        <w:snapToGrid w:val="0"/>
        <w:spacing w:line="320" w:lineRule="atLeast"/>
        <w:ind w:leftChars="300" w:left="720" w:right="-207" w:firstLineChars="50" w:firstLine="12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lastRenderedPageBreak/>
        <w:t>(三)社會政策分析(三學分)【實務類課程】</w:t>
      </w:r>
    </w:p>
    <w:p w:rsidR="00A94E9B" w:rsidRPr="00A94E9B" w:rsidRDefault="00A94E9B" w:rsidP="00A94E9B">
      <w:pPr>
        <w:snapToGrid w:val="0"/>
        <w:spacing w:line="320" w:lineRule="atLeast"/>
        <w:ind w:leftChars="350" w:left="1320" w:right="-207" w:hangingChars="200" w:hanging="48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>(四)專題討論(三學分) 【實務類課程】(自101學年度第2學期起改為只修一次)（自105學年度第2學期起改為3學分）</w:t>
      </w:r>
    </w:p>
    <w:p w:rsidR="00A94E9B" w:rsidRPr="00A94E9B" w:rsidRDefault="00A94E9B" w:rsidP="00A94E9B">
      <w:pPr>
        <w:snapToGrid w:val="0"/>
        <w:spacing w:line="320" w:lineRule="atLeast"/>
        <w:ind w:leftChars="300" w:left="720" w:right="-207" w:firstLineChars="50" w:firstLine="12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>(五)博士論文(十二學分)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 xml:space="preserve">    二、選修科目﹕(二十一學分)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第四條  博士學位候選人資格考試﹕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 一、論文指導教授之申請﹕</w:t>
      </w:r>
    </w:p>
    <w:p w:rsidR="00A94E9B" w:rsidRPr="00A94E9B" w:rsidRDefault="00A94E9B" w:rsidP="00A94E9B">
      <w:pPr>
        <w:snapToGrid w:val="0"/>
        <w:spacing w:line="320" w:lineRule="atLeast"/>
        <w:ind w:left="960" w:right="-207"/>
        <w:jc w:val="both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指導教授人數以一人為原則；論文指導教授之資格按教育部之規定(教授、副教授、博士)。特殊情況可申請由本校外系或外校教授指導本系研究生畢業論文，但必須由本系教授組成委員會審查。研究生隨時可提出指導教授之申請。其他相關規定請參見教育部頒定之「學位授予法」與其「施行細則」、本校「博士學位候選人資格考核實施要點」及本系「博士學位候選人資格考核實施辦法」。</w:t>
      </w:r>
    </w:p>
    <w:p w:rsidR="00A94E9B" w:rsidRPr="00A94E9B" w:rsidRDefault="00A94E9B" w:rsidP="00A94E9B">
      <w:pPr>
        <w:ind w:left="1440" w:hangingChars="600" w:hanging="1440"/>
        <w:rPr>
          <w:rFonts w:ascii="Times New Roman" w:hAnsi="Times New Roman"/>
          <w:szCs w:val="24"/>
        </w:rPr>
      </w:pPr>
      <w:r w:rsidRPr="00A94E9B">
        <w:rPr>
          <w:rFonts w:ascii="Times New Roman" w:hAnsi="Times New Roman" w:hint="eastAsia"/>
          <w:szCs w:val="24"/>
        </w:rPr>
        <w:t xml:space="preserve">    </w:t>
      </w:r>
      <w:r w:rsidRPr="00A94E9B">
        <w:rPr>
          <w:rFonts w:ascii="Times New Roman" w:hAnsi="Times New Roman" w:hint="eastAsia"/>
          <w:szCs w:val="24"/>
        </w:rPr>
        <w:t>二、資格考試﹕</w:t>
      </w:r>
    </w:p>
    <w:p w:rsidR="00A94E9B" w:rsidRPr="00A94E9B" w:rsidRDefault="00A94E9B" w:rsidP="00A94E9B">
      <w:pPr>
        <w:ind w:leftChars="300" w:left="1440" w:hangingChars="300" w:hanging="720"/>
        <w:rPr>
          <w:rFonts w:ascii="Times New Roman" w:hAnsi="Times New Roman"/>
          <w:szCs w:val="24"/>
        </w:rPr>
      </w:pPr>
      <w:r w:rsidRPr="00A94E9B">
        <w:rPr>
          <w:rFonts w:ascii="Times New Roman" w:hAnsi="Times New Roman" w:hint="eastAsia"/>
          <w:szCs w:val="24"/>
        </w:rPr>
        <w:t>(</w:t>
      </w:r>
      <w:r w:rsidRPr="00A94E9B">
        <w:rPr>
          <w:rFonts w:ascii="Times New Roman" w:hAnsi="Times New Roman" w:hint="eastAsia"/>
          <w:szCs w:val="24"/>
        </w:rPr>
        <w:t>一</w:t>
      </w:r>
      <w:r w:rsidRPr="00A94E9B">
        <w:rPr>
          <w:rFonts w:ascii="Times New Roman" w:hAnsi="Times New Roman" w:hint="eastAsia"/>
          <w:szCs w:val="24"/>
        </w:rPr>
        <w:t>)</w:t>
      </w:r>
      <w:r w:rsidRPr="00A94E9B">
        <w:rPr>
          <w:rFonts w:ascii="Times New Roman" w:hAnsi="Times New Roman" w:hint="eastAsia"/>
          <w:szCs w:val="24"/>
        </w:rPr>
        <w:t>第一階段【學科考】：另行規定。</w:t>
      </w:r>
    </w:p>
    <w:p w:rsidR="00A94E9B" w:rsidRPr="00A94E9B" w:rsidRDefault="00A94E9B" w:rsidP="00A94E9B">
      <w:pPr>
        <w:snapToGrid w:val="0"/>
        <w:spacing w:line="320" w:lineRule="atLeast"/>
        <w:ind w:left="72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(二)第二階段：資格審查口試</w:t>
      </w:r>
    </w:p>
    <w:p w:rsidR="00A94E9B" w:rsidRPr="00A94E9B" w:rsidRDefault="00A94E9B" w:rsidP="00A94E9B">
      <w:pPr>
        <w:snapToGrid w:val="0"/>
        <w:spacing w:line="320" w:lineRule="atLeast"/>
        <w:ind w:leftChars="300" w:left="1200" w:right="-207" w:hangingChars="200" w:hanging="480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 論文計畫書審查口試成績以出席口試委員個別評定分數平均決定之，須平均分數達七十分以上才為及格。委員人數以五或七人為宜。</w:t>
      </w:r>
    </w:p>
    <w:p w:rsidR="00A94E9B" w:rsidRPr="00A94E9B" w:rsidRDefault="00A94E9B" w:rsidP="00A94E9B">
      <w:pPr>
        <w:snapToGrid w:val="0"/>
        <w:spacing w:line="320" w:lineRule="atLeast"/>
        <w:ind w:right="-207" w:firstLineChars="300" w:firstLine="720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(三)論文計畫書審查口試申請需檢附資料﹕</w:t>
      </w:r>
      <w:r w:rsidRPr="00A94E9B">
        <w:rPr>
          <w:rFonts w:ascii="細明體" w:eastAsia="細明體" w:hAnsi="Courier New" w:hint="eastAsia"/>
          <w:szCs w:val="20"/>
        </w:rPr>
        <w:t>另行規定。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 三、博士學位候選人資格考試申請流程﹕</w:t>
      </w:r>
    </w:p>
    <w:p w:rsidR="00A94E9B" w:rsidRPr="00A94E9B" w:rsidRDefault="00A94E9B" w:rsidP="00A94E9B">
      <w:pPr>
        <w:numPr>
          <w:ilvl w:val="0"/>
          <w:numId w:val="6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/>
          <w:color w:val="000000"/>
          <w:sz w:val="22"/>
        </w:rPr>
        <w:t>研究生</w:t>
      </w:r>
      <w:r w:rsidRPr="00A94E9B">
        <w:rPr>
          <w:rFonts w:ascii="細明體" w:eastAsia="細明體" w:hAnsi="Courier New" w:hint="eastAsia"/>
          <w:color w:val="000000"/>
          <w:sz w:val="22"/>
        </w:rPr>
        <w:t>於</w:t>
      </w:r>
      <w:r w:rsidRPr="00A94E9B">
        <w:rPr>
          <w:rFonts w:ascii="細明體" w:eastAsia="細明體" w:hAnsi="Courier New"/>
          <w:color w:val="000000"/>
          <w:sz w:val="22"/>
        </w:rPr>
        <w:t>修</w:t>
      </w:r>
      <w:r w:rsidRPr="00A94E9B">
        <w:rPr>
          <w:rFonts w:ascii="細明體" w:eastAsia="細明體" w:hAnsi="Courier New" w:hint="eastAsia"/>
          <w:color w:val="000000"/>
          <w:sz w:val="22"/>
        </w:rPr>
        <w:t>滿專題討論課程以外之</w:t>
      </w:r>
      <w:r w:rsidRPr="00A94E9B">
        <w:rPr>
          <w:rFonts w:ascii="細明體" w:eastAsia="細明體" w:hAnsi="Courier New"/>
          <w:color w:val="000000"/>
          <w:sz w:val="22"/>
        </w:rPr>
        <w:t>學分當學期，</w:t>
      </w:r>
      <w:r w:rsidRPr="00A94E9B">
        <w:rPr>
          <w:rFonts w:ascii="細明體" w:eastAsia="細明體" w:hAnsi="Courier New" w:hint="eastAsia"/>
          <w:color w:val="000000"/>
          <w:szCs w:val="24"/>
        </w:rPr>
        <w:t>可提</w:t>
      </w:r>
      <w:r w:rsidRPr="00A94E9B">
        <w:rPr>
          <w:rFonts w:ascii="細明體" w:eastAsia="細明體" w:hAnsi="Courier New" w:hint="eastAsia"/>
          <w:szCs w:val="24"/>
        </w:rPr>
        <w:t>出第一階段資格考試【學科考】之申請。論文計劃書口試於資格考試第一階段通過後提出申請，須於第一學期最後一天上班日(至遲應於1\31)前、第二學期7\31前完成審查口試，提出申請日期為審查口試舉行日二週前連同電子檔初稿提出。</w:t>
      </w:r>
    </w:p>
    <w:p w:rsidR="00A94E9B" w:rsidRPr="00A94E9B" w:rsidRDefault="00A94E9B" w:rsidP="00A94E9B">
      <w:pPr>
        <w:numPr>
          <w:ilvl w:val="0"/>
          <w:numId w:val="6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論文計畫書審查口試開放旁聽，且須有研究生擔任正式記錄。</w:t>
      </w:r>
    </w:p>
    <w:p w:rsidR="00A94E9B" w:rsidRPr="00A94E9B" w:rsidRDefault="00A94E9B" w:rsidP="00A94E9B">
      <w:pPr>
        <w:numPr>
          <w:ilvl w:val="0"/>
          <w:numId w:val="6"/>
        </w:numPr>
        <w:snapToGrid w:val="0"/>
        <w:spacing w:line="320" w:lineRule="atLeast"/>
        <w:ind w:right="-207"/>
        <w:rPr>
          <w:rFonts w:ascii="細明體" w:eastAsia="細明體" w:hAnsi="Courier New"/>
          <w:b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資格考試第一階段【學科考】未通過及論文計劃書口試未通過者，則須至下一個學期方得進行第二次考試。資格考試第一階段【學科考】重考不限次數(但有學校修業年數限制)，第二階段</w:t>
      </w:r>
      <w:r w:rsidRPr="00A94E9B">
        <w:rPr>
          <w:rFonts w:ascii="細明體" w:eastAsia="細明體" w:hAnsi="Courier New" w:hint="eastAsia"/>
          <w:b/>
          <w:szCs w:val="24"/>
        </w:rPr>
        <w:t>【</w:t>
      </w:r>
      <w:r w:rsidRPr="00A94E9B">
        <w:rPr>
          <w:rFonts w:ascii="細明體" w:eastAsia="細明體" w:hAnsi="Courier New" w:hint="eastAsia"/>
          <w:szCs w:val="24"/>
        </w:rPr>
        <w:t>論文計劃書口試】重考以一次為限。</w:t>
      </w:r>
    </w:p>
    <w:p w:rsidR="00A94E9B" w:rsidRPr="00A94E9B" w:rsidRDefault="00A94E9B" w:rsidP="00A94E9B">
      <w:pPr>
        <w:numPr>
          <w:ilvl w:val="0"/>
          <w:numId w:val="6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研究生通過資格考試者，始得由各系提出為博士學位候選人，併同學位考試委員名冊，送教務處函報教育部覆核。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第五條  博士學位論文口試﹕</w:t>
      </w:r>
    </w:p>
    <w:p w:rsidR="00A94E9B" w:rsidRPr="00A94E9B" w:rsidRDefault="00A94E9B" w:rsidP="00A94E9B">
      <w:pPr>
        <w:numPr>
          <w:ilvl w:val="0"/>
          <w:numId w:val="7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論文口試委員人數為五至七人，依學位授予法及其施行細則規定，委員需有三分之一以上為校外教授(兼任教授算校內或校外均可)，本系規定至少五分之二</w:t>
      </w:r>
      <w:r w:rsidRPr="00A94E9B">
        <w:rPr>
          <w:rFonts w:ascii="Times New Roman" w:eastAsia="細明體" w:hAnsi="Times New Roman" w:hint="eastAsia"/>
          <w:szCs w:val="24"/>
        </w:rPr>
        <w:t>須為本系專任教師</w:t>
      </w:r>
      <w:r w:rsidRPr="00A94E9B">
        <w:rPr>
          <w:rFonts w:ascii="Times New Roman" w:eastAsia="細明體" w:hAnsi="Times New Roman"/>
          <w:szCs w:val="24"/>
        </w:rPr>
        <w:t>(</w:t>
      </w:r>
      <w:r w:rsidRPr="00A94E9B">
        <w:rPr>
          <w:rFonts w:ascii="Times New Roman" w:eastAsia="細明體" w:hAnsi="Times New Roman" w:hint="eastAsia"/>
          <w:szCs w:val="24"/>
        </w:rPr>
        <w:t>含指導教授</w:t>
      </w:r>
      <w:r w:rsidRPr="00A94E9B">
        <w:rPr>
          <w:rFonts w:ascii="Times New Roman" w:eastAsia="細明體" w:hAnsi="Times New Roman" w:hint="eastAsia"/>
          <w:szCs w:val="24"/>
        </w:rPr>
        <w:t>)</w:t>
      </w:r>
      <w:r w:rsidRPr="00A94E9B">
        <w:rPr>
          <w:rFonts w:ascii="細明體" w:eastAsia="細明體" w:hAnsi="Courier New" w:hint="eastAsia"/>
          <w:szCs w:val="24"/>
        </w:rPr>
        <w:t>。</w:t>
      </w:r>
    </w:p>
    <w:p w:rsidR="00A94E9B" w:rsidRPr="00A94E9B" w:rsidRDefault="00A94E9B" w:rsidP="00A94E9B">
      <w:pPr>
        <w:numPr>
          <w:ilvl w:val="0"/>
          <w:numId w:val="8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除不可抗拒之因素外，論文口試委員與論文計劃書口試委員應為同一組成員。</w:t>
      </w:r>
    </w:p>
    <w:p w:rsidR="00A94E9B" w:rsidRPr="00A94E9B" w:rsidRDefault="00A94E9B" w:rsidP="00A94E9B">
      <w:pPr>
        <w:numPr>
          <w:ilvl w:val="0"/>
          <w:numId w:val="8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由系主任指定口試委員之其中一人為召集人，但指導教授不得擔任召集人。</w:t>
      </w:r>
    </w:p>
    <w:p w:rsidR="00A94E9B" w:rsidRPr="00A94E9B" w:rsidRDefault="00A94E9B" w:rsidP="00A94E9B">
      <w:pPr>
        <w:numPr>
          <w:ilvl w:val="0"/>
          <w:numId w:val="8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口試委員之遴聘由指導教授擬定合適人選，經系主任提請校長遴聘之。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 xml:space="preserve">    二、論文口試申請流程﹕</w:t>
      </w:r>
    </w:p>
    <w:p w:rsidR="00A94E9B" w:rsidRPr="00A94E9B" w:rsidRDefault="00A94E9B" w:rsidP="00A94E9B">
      <w:pPr>
        <w:numPr>
          <w:ilvl w:val="0"/>
          <w:numId w:val="9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博士資格考試通過後方能提出學位論文口試申請。</w:t>
      </w:r>
    </w:p>
    <w:p w:rsidR="00A94E9B" w:rsidRPr="00A94E9B" w:rsidRDefault="00A94E9B" w:rsidP="00A94E9B">
      <w:pPr>
        <w:numPr>
          <w:ilvl w:val="0"/>
          <w:numId w:val="9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論文計劃書審查口試通過後之下一個學期才能夠申請學位論文口試。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leftChars="300" w:left="1440" w:hangingChars="300" w:hanging="720"/>
        <w:jc w:val="both"/>
        <w:rPr>
          <w:rFonts w:ascii="新細明體" w:hAnsi="新細明體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>(三)1.</w:t>
      </w:r>
      <w:r w:rsidRPr="00A94E9B">
        <w:rPr>
          <w:rFonts w:ascii="細明體" w:eastAsia="細明體" w:hAnsi="Courier New"/>
          <w:color w:val="000000"/>
          <w:szCs w:val="20"/>
        </w:rPr>
        <w:t>研究生需於學術性刊物上發表著作達</w:t>
      </w:r>
      <w:r w:rsidRPr="00A94E9B">
        <w:rPr>
          <w:rFonts w:ascii="細明體" w:eastAsia="細明體" w:hAnsi="Courier New" w:hint="eastAsia"/>
          <w:color w:val="000000"/>
          <w:szCs w:val="20"/>
        </w:rPr>
        <w:t>到系上規</w:t>
      </w:r>
      <w:r w:rsidRPr="00A94E9B">
        <w:rPr>
          <w:rFonts w:ascii="細明體" w:eastAsia="細明體" w:hAnsi="Courier New"/>
          <w:color w:val="000000"/>
          <w:szCs w:val="20"/>
        </w:rPr>
        <w:t>定</w:t>
      </w:r>
      <w:r w:rsidRPr="00A94E9B">
        <w:rPr>
          <w:rFonts w:ascii="細明體" w:eastAsia="細明體" w:hAnsi="Courier New" w:hint="eastAsia"/>
          <w:color w:val="000000"/>
          <w:szCs w:val="20"/>
        </w:rPr>
        <w:t>最低</w:t>
      </w:r>
      <w:r w:rsidRPr="00A94E9B">
        <w:rPr>
          <w:rFonts w:ascii="細明體" w:eastAsia="細明體" w:hAnsi="Courier New"/>
          <w:color w:val="000000"/>
          <w:szCs w:val="20"/>
        </w:rPr>
        <w:t>點數</w:t>
      </w:r>
      <w:r w:rsidRPr="00A94E9B">
        <w:rPr>
          <w:rFonts w:ascii="細明體" w:eastAsia="細明體" w:hAnsi="Courier New" w:hint="eastAsia"/>
          <w:color w:val="000000"/>
          <w:szCs w:val="24"/>
        </w:rPr>
        <w:t>並完成本系英語能力要求</w:t>
      </w:r>
      <w:r w:rsidRPr="00A94E9B">
        <w:rPr>
          <w:rFonts w:ascii="細明體" w:eastAsia="細明體" w:hAnsi="Courier New"/>
          <w:color w:val="000000"/>
          <w:szCs w:val="20"/>
        </w:rPr>
        <w:t>方可提出學位口試申請。學術性刊物的點數參照社會科學院獎勵學術著作的要點辦理</w:t>
      </w:r>
      <w:r w:rsidRPr="00A94E9B">
        <w:rPr>
          <w:rFonts w:ascii="細明體" w:eastAsia="細明體" w:hAnsi="Courier New" w:hint="eastAsia"/>
          <w:color w:val="000000"/>
          <w:szCs w:val="20"/>
        </w:rPr>
        <w:t>。(相關內容另行公告</w:t>
      </w:r>
      <w:r w:rsidRPr="00A94E9B">
        <w:rPr>
          <w:rFonts w:ascii="細明體" w:eastAsia="細明體" w:hAnsi="Courier New"/>
          <w:color w:val="000000"/>
          <w:szCs w:val="20"/>
        </w:rPr>
        <w:t>—</w:t>
      </w:r>
      <w:r w:rsidRPr="00A94E9B">
        <w:rPr>
          <w:rFonts w:ascii="細明體" w:eastAsia="細明體" w:hAnsi="Courier New" w:hint="eastAsia"/>
          <w:color w:val="000000"/>
          <w:szCs w:val="20"/>
        </w:rPr>
        <w:t>註)</w:t>
      </w:r>
      <w:r w:rsidRPr="00A94E9B">
        <w:rPr>
          <w:rFonts w:ascii="細明體" w:eastAsia="細明體" w:hAnsi="Courier New"/>
          <w:color w:val="000000"/>
          <w:szCs w:val="20"/>
        </w:rPr>
        <w:t>。</w:t>
      </w:r>
      <w:r w:rsidRPr="00A94E9B">
        <w:rPr>
          <w:rFonts w:ascii="細明體" w:eastAsia="細明體" w:hAnsi="Courier New" w:hint="eastAsia"/>
          <w:color w:val="000000"/>
          <w:szCs w:val="20"/>
        </w:rPr>
        <w:t>【99.4.6.修正通過】2.</w:t>
      </w:r>
      <w:r w:rsidRPr="00A94E9B">
        <w:rPr>
          <w:rFonts w:ascii="新細明體" w:hAnsi="新細明體" w:hint="eastAsia"/>
          <w:color w:val="000000"/>
          <w:szCs w:val="20"/>
        </w:rPr>
        <w:t>日後研究生發表文章時，應具名</w:t>
      </w:r>
      <w:r w:rsidRPr="00A94E9B">
        <w:rPr>
          <w:rFonts w:ascii="新細明體" w:hAnsi="新細明體"/>
          <w:color w:val="000000"/>
          <w:szCs w:val="20"/>
        </w:rPr>
        <w:t>”</w:t>
      </w:r>
      <w:r w:rsidRPr="00A94E9B">
        <w:rPr>
          <w:rFonts w:ascii="新細明體" w:hAnsi="新細明體" w:hint="eastAsia"/>
          <w:color w:val="000000"/>
          <w:szCs w:val="20"/>
        </w:rPr>
        <w:t>東海大學社會工作學系博士班研究生</w:t>
      </w:r>
      <w:r w:rsidRPr="00A94E9B">
        <w:rPr>
          <w:rFonts w:ascii="新細明體" w:hAnsi="新細明體"/>
          <w:color w:val="000000"/>
          <w:szCs w:val="20"/>
        </w:rPr>
        <w:t>”</w:t>
      </w:r>
      <w:r w:rsidRPr="00A94E9B">
        <w:rPr>
          <w:rFonts w:ascii="新細明體" w:hAnsi="新細明體" w:hint="eastAsia"/>
          <w:color w:val="000000"/>
          <w:szCs w:val="20"/>
        </w:rPr>
        <w:t>身份。3.發表刊物可以出版單位所開具之證明替代正式出版，等正式出版後補上刊物證明。【99.6.8.通過】</w:t>
      </w:r>
    </w:p>
    <w:p w:rsidR="00A94E9B" w:rsidRPr="00A94E9B" w:rsidRDefault="00A94E9B" w:rsidP="00A94E9B">
      <w:pPr>
        <w:tabs>
          <w:tab w:val="left" w:pos="2520"/>
        </w:tabs>
        <w:spacing w:line="0" w:lineRule="atLeast"/>
        <w:ind w:leftChars="500" w:left="1440" w:hangingChars="100" w:hanging="240"/>
        <w:jc w:val="both"/>
        <w:rPr>
          <w:rFonts w:ascii="新細明體" w:hAnsi="新細明體"/>
          <w:b/>
          <w:color w:val="000000"/>
          <w:szCs w:val="20"/>
        </w:rPr>
      </w:pPr>
      <w:r w:rsidRPr="00A94E9B">
        <w:rPr>
          <w:rFonts w:ascii="新細明體" w:hAnsi="新細明體" w:hint="eastAsia"/>
          <w:b/>
          <w:color w:val="000000"/>
          <w:szCs w:val="20"/>
        </w:rPr>
        <w:t>2.研究生需於學位口試前完成</w:t>
      </w:r>
      <w:r w:rsidRPr="00A94E9B">
        <w:rPr>
          <w:rFonts w:eastAsia="細明體" w:hint="eastAsia"/>
          <w:b/>
          <w:color w:val="000000"/>
          <w:szCs w:val="24"/>
        </w:rPr>
        <w:t>東海大學學術倫理教育課程實施要點所規定：</w:t>
      </w:r>
      <w:r w:rsidRPr="00A94E9B">
        <w:rPr>
          <w:rFonts w:eastAsia="細明體" w:hint="eastAsia"/>
          <w:b/>
          <w:color w:val="000000"/>
        </w:rPr>
        <w:t>自</w:t>
      </w:r>
      <w:r w:rsidRPr="00A94E9B">
        <w:rPr>
          <w:rFonts w:eastAsia="細明體" w:hint="eastAsia"/>
          <w:b/>
          <w:color w:val="000000"/>
        </w:rPr>
        <w:t>107</w:t>
      </w:r>
      <w:r w:rsidRPr="00A94E9B">
        <w:rPr>
          <w:rFonts w:eastAsia="細明體" w:hint="eastAsia"/>
          <w:b/>
          <w:color w:val="000000"/>
        </w:rPr>
        <w:t>學年度（含）起入學之碩、博士班學生</w:t>
      </w:r>
      <w:r w:rsidRPr="00A94E9B">
        <w:rPr>
          <w:rFonts w:eastAsia="細明體" w:hint="eastAsia"/>
          <w:b/>
          <w:color w:val="000000"/>
        </w:rPr>
        <w:t>(</w:t>
      </w:r>
      <w:r w:rsidRPr="00A94E9B">
        <w:rPr>
          <w:rFonts w:eastAsia="細明體" w:hint="eastAsia"/>
          <w:b/>
          <w:color w:val="000000"/>
        </w:rPr>
        <w:t>含在職專班</w:t>
      </w:r>
      <w:r w:rsidRPr="00A94E9B">
        <w:rPr>
          <w:rFonts w:eastAsia="細明體" w:hint="eastAsia"/>
          <w:b/>
          <w:color w:val="000000"/>
        </w:rPr>
        <w:t>)</w:t>
      </w:r>
      <w:r w:rsidRPr="00A94E9B">
        <w:rPr>
          <w:rFonts w:eastAsia="細明體" w:hint="eastAsia"/>
          <w:b/>
          <w:color w:val="000000"/>
        </w:rPr>
        <w:t>，均需於入學後修習第三條</w:t>
      </w:r>
      <w:r w:rsidRPr="00A94E9B">
        <w:rPr>
          <w:rFonts w:eastAsia="細明體" w:hint="eastAsia"/>
          <w:b/>
          <w:color w:val="000000"/>
        </w:rPr>
        <w:lastRenderedPageBreak/>
        <w:t>所列之課程</w:t>
      </w:r>
      <w:r w:rsidRPr="00A94E9B">
        <w:rPr>
          <w:rFonts w:ascii="新細明體" w:eastAsia="細明體" w:hAnsi="新細明體" w:hint="eastAsia"/>
          <w:b/>
          <w:color w:val="000000"/>
        </w:rPr>
        <w:t>；通過者，始得申請學位考試。第三條：學生需修習下列學術倫理教育課程之一者，視為通過學術倫理教育課程。修習「臺灣學術倫理教育推廣資源中心」線上平台研究所全部核心課程，並取得修課證明。修習本校通識中心暨各院系所開設之「社會責任暨學術倫理」相關課程一門且成績及格者。參加各項學術倫理研討會課程至少</w:t>
      </w:r>
      <w:r w:rsidRPr="00A94E9B">
        <w:rPr>
          <w:rFonts w:ascii="新細明體" w:eastAsia="細明體" w:hAnsi="新細明體" w:hint="eastAsia"/>
          <w:b/>
          <w:color w:val="000000"/>
        </w:rPr>
        <w:t>6</w:t>
      </w:r>
      <w:r w:rsidRPr="00A94E9B">
        <w:rPr>
          <w:rFonts w:ascii="新細明體" w:eastAsia="細明體" w:hAnsi="新細明體" w:hint="eastAsia"/>
          <w:b/>
          <w:color w:val="000000"/>
        </w:rPr>
        <w:t>小時，並繳交研習證明。</w:t>
      </w:r>
    </w:p>
    <w:p w:rsidR="00A94E9B" w:rsidRPr="00A94E9B" w:rsidRDefault="00A94E9B" w:rsidP="00A94E9B">
      <w:pPr>
        <w:snapToGrid w:val="0"/>
        <w:spacing w:line="320" w:lineRule="atLeast"/>
        <w:ind w:left="720"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(四)論文審查口試開放旁聽，且須有研究生擔任正式記錄。</w:t>
      </w:r>
    </w:p>
    <w:p w:rsidR="00A94E9B" w:rsidRPr="00A94E9B" w:rsidRDefault="00A94E9B" w:rsidP="00A94E9B">
      <w:pPr>
        <w:snapToGrid w:val="0"/>
        <w:spacing w:line="320" w:lineRule="atLeast"/>
        <w:ind w:leftChars="300" w:left="1200" w:right="-207" w:hangingChars="200" w:hanging="480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(五)論文審查口試申請期限：依學校規定辦理。研究生申請學位考試，必須在口試二週前提出網路填表申請，並填妥東海大學之論文考試申請表，會註冊組呈核辦理。【申請核可後由學校發給審查口試委員聘書】</w:t>
      </w:r>
    </w:p>
    <w:p w:rsidR="00A94E9B" w:rsidRPr="00A94E9B" w:rsidRDefault="00A94E9B" w:rsidP="00A94E9B">
      <w:pPr>
        <w:ind w:left="720" w:right="-1594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(六)論文審查口試成績須於第一學期最後一天上班日(至遲應於1\31)前、第二學期7\31前送至</w:t>
      </w:r>
    </w:p>
    <w:p w:rsidR="00A94E9B" w:rsidRPr="00A94E9B" w:rsidRDefault="00A94E9B" w:rsidP="00A94E9B">
      <w:pPr>
        <w:ind w:leftChars="300" w:left="720" w:right="-1594" w:firstLineChars="200" w:firstLine="480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註冊組，畢業生應於學校規定期限內辦理畢業離校手續。</w:t>
      </w:r>
    </w:p>
    <w:p w:rsidR="00A94E9B" w:rsidRPr="00A94E9B" w:rsidRDefault="00A94E9B" w:rsidP="00A94E9B">
      <w:pPr>
        <w:ind w:right="-1594" w:firstLineChars="200" w:firstLine="480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三、博士班研究生之學位論文考試申請，除需填具申請書外，並需檢附﹕</w:t>
      </w:r>
    </w:p>
    <w:p w:rsidR="00A94E9B" w:rsidRPr="00A94E9B" w:rsidRDefault="00A94E9B" w:rsidP="00A94E9B">
      <w:pPr>
        <w:numPr>
          <w:ilvl w:val="0"/>
          <w:numId w:val="10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論文電子檔初稿一份。</w:t>
      </w:r>
    </w:p>
    <w:p w:rsidR="00A94E9B" w:rsidRPr="00A94E9B" w:rsidRDefault="00A94E9B" w:rsidP="00A94E9B">
      <w:pPr>
        <w:numPr>
          <w:ilvl w:val="0"/>
          <w:numId w:val="10"/>
        </w:numPr>
        <w:snapToGrid w:val="0"/>
        <w:spacing w:line="320" w:lineRule="atLeast"/>
        <w:ind w:left="1080" w:right="-207" w:hanging="360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Times New Roman" w:eastAsia="細明體" w:hAnsi="Times New Roman" w:hint="eastAsia"/>
          <w:color w:val="000000"/>
          <w:szCs w:val="24"/>
        </w:rPr>
        <w:t>學術著作</w:t>
      </w:r>
      <w:r w:rsidRPr="00A94E9B">
        <w:rPr>
          <w:rFonts w:ascii="Times New Roman" w:eastAsia="細明體" w:hAnsi="Times New Roman" w:hint="eastAsia"/>
          <w:color w:val="000000"/>
          <w:szCs w:val="24"/>
        </w:rPr>
        <w:t>0.6</w:t>
      </w:r>
      <w:r w:rsidRPr="00A94E9B">
        <w:rPr>
          <w:rFonts w:ascii="Times New Roman" w:eastAsia="細明體" w:hAnsi="Times New Roman" w:hint="eastAsia"/>
          <w:color w:val="000000"/>
          <w:szCs w:val="24"/>
        </w:rPr>
        <w:t>分或以上之證明文章。【</w:t>
      </w:r>
      <w:r w:rsidRPr="00A94E9B">
        <w:rPr>
          <w:rFonts w:ascii="Times New Roman" w:eastAsia="細明體" w:hAnsi="Times New Roman" w:hint="eastAsia"/>
          <w:color w:val="000000"/>
          <w:szCs w:val="24"/>
        </w:rPr>
        <w:t>99.4.6.</w:t>
      </w:r>
      <w:r w:rsidRPr="00A94E9B">
        <w:rPr>
          <w:rFonts w:ascii="Times New Roman" w:eastAsia="細明體" w:hAnsi="Times New Roman" w:hint="eastAsia"/>
          <w:color w:val="000000"/>
          <w:szCs w:val="24"/>
        </w:rPr>
        <w:t>修正通過】</w:t>
      </w:r>
    </w:p>
    <w:p w:rsidR="00A94E9B" w:rsidRPr="00A94E9B" w:rsidRDefault="00A94E9B" w:rsidP="00A94E9B">
      <w:pPr>
        <w:numPr>
          <w:ilvl w:val="0"/>
          <w:numId w:val="10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本系英語能力要求證明書一份。</w:t>
      </w:r>
    </w:p>
    <w:p w:rsidR="00A94E9B" w:rsidRPr="00A94E9B" w:rsidRDefault="00A94E9B" w:rsidP="00A94E9B">
      <w:pPr>
        <w:numPr>
          <w:ilvl w:val="0"/>
          <w:numId w:val="13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論文口試成績以出席口試委員個別評定分數平均決定之，須平均分數達七十分以上方為及格。論文口試成績不及格而其修業年限尚未屆滿者，得於次學期申請重考，重考以一次為限。</w:t>
      </w:r>
    </w:p>
    <w:p w:rsidR="00A94E9B" w:rsidRPr="00A94E9B" w:rsidRDefault="00A94E9B" w:rsidP="00A94E9B">
      <w:pPr>
        <w:numPr>
          <w:ilvl w:val="0"/>
          <w:numId w:val="11"/>
        </w:num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  <w:r w:rsidRPr="00A94E9B">
        <w:rPr>
          <w:rFonts w:ascii="細明體" w:eastAsia="細明體" w:hAnsi="Courier New" w:hint="eastAsia"/>
          <w:szCs w:val="24"/>
        </w:rPr>
        <w:t>本修業規則經系務會議通過後實施，修正時亦同。</w:t>
      </w:r>
    </w:p>
    <w:p w:rsidR="00A94E9B" w:rsidRPr="00A94E9B" w:rsidRDefault="00A94E9B" w:rsidP="00A94E9B">
      <w:pPr>
        <w:snapToGrid w:val="0"/>
        <w:spacing w:line="320" w:lineRule="atLeast"/>
        <w:ind w:right="-207"/>
        <w:rPr>
          <w:rFonts w:ascii="細明體" w:eastAsia="細明體" w:hAnsi="Courier New"/>
          <w:szCs w:val="24"/>
        </w:rPr>
      </w:pPr>
    </w:p>
    <w:p w:rsidR="00A94E9B" w:rsidRPr="00A94E9B" w:rsidRDefault="00A94E9B" w:rsidP="00A94E9B">
      <w:pPr>
        <w:ind w:leftChars="50" w:left="1080" w:hangingChars="400" w:hanging="960"/>
        <w:rPr>
          <w:rFonts w:ascii="Times New Roman" w:hAnsi="Times New Roman"/>
          <w:szCs w:val="24"/>
        </w:rPr>
      </w:pPr>
      <w:r w:rsidRPr="00A94E9B">
        <w:rPr>
          <w:rFonts w:ascii="Times New Roman" w:hAnsi="Times New Roman" w:hint="eastAsia"/>
          <w:szCs w:val="24"/>
        </w:rPr>
        <w:t>註一：博士班論文『</w:t>
      </w:r>
      <w:r w:rsidRPr="00A94E9B">
        <w:rPr>
          <w:rFonts w:ascii="Times New Roman" w:hAnsi="Times New Roman" w:hint="eastAsia"/>
          <w:szCs w:val="24"/>
        </w:rPr>
        <w:t>References</w:t>
      </w:r>
      <w:r w:rsidRPr="00A94E9B">
        <w:rPr>
          <w:rFonts w:ascii="Times New Roman" w:hAnsi="Times New Roman" w:hint="eastAsia"/>
          <w:szCs w:val="24"/>
        </w:rPr>
        <w:t>格式』宜統一規定，英文部份依據最新版本之</w:t>
      </w:r>
      <w:r w:rsidRPr="00A94E9B">
        <w:rPr>
          <w:rFonts w:ascii="Times New Roman" w:hAnsi="Times New Roman" w:hint="eastAsia"/>
          <w:szCs w:val="24"/>
        </w:rPr>
        <w:t>APA</w:t>
      </w:r>
      <w:r w:rsidRPr="00A94E9B">
        <w:rPr>
          <w:rFonts w:ascii="Times New Roman" w:hAnsi="Times New Roman" w:hint="eastAsia"/>
          <w:szCs w:val="24"/>
        </w:rPr>
        <w:t>，中文部份尋找合適之版本供研究生參考。</w:t>
      </w:r>
    </w:p>
    <w:p w:rsidR="00A94E9B" w:rsidRPr="00A94E9B" w:rsidRDefault="00A94E9B" w:rsidP="00A94E9B">
      <w:pPr>
        <w:ind w:leftChars="50" w:left="1080" w:hangingChars="400" w:hanging="960"/>
        <w:rPr>
          <w:rFonts w:ascii="Times New Roman" w:hAnsi="Times New Roman"/>
          <w:color w:val="000000"/>
          <w:szCs w:val="24"/>
        </w:rPr>
      </w:pPr>
      <w:r w:rsidRPr="00A94E9B">
        <w:rPr>
          <w:rFonts w:ascii="Times New Roman" w:hAnsi="Times New Roman" w:hint="eastAsia"/>
          <w:color w:val="000000"/>
          <w:szCs w:val="24"/>
        </w:rPr>
        <w:t>註二</w:t>
      </w:r>
      <w:r w:rsidRPr="00A94E9B">
        <w:rPr>
          <w:rFonts w:ascii="Times New Roman" w:hAnsi="Times New Roman" w:hint="eastAsia"/>
          <w:b/>
          <w:color w:val="000000"/>
          <w:szCs w:val="24"/>
        </w:rPr>
        <w:t>：</w:t>
      </w:r>
      <w:r w:rsidRPr="00A94E9B">
        <w:rPr>
          <w:rFonts w:ascii="Times New Roman" w:hAnsi="Times New Roman" w:hint="eastAsia"/>
          <w:color w:val="000000"/>
          <w:szCs w:val="24"/>
        </w:rPr>
        <w:t>99</w:t>
      </w:r>
      <w:r w:rsidRPr="00A94E9B">
        <w:rPr>
          <w:rFonts w:ascii="Times New Roman" w:hAnsi="Times New Roman" w:hint="eastAsia"/>
          <w:color w:val="000000"/>
          <w:szCs w:val="24"/>
        </w:rPr>
        <w:t>年</w:t>
      </w:r>
      <w:r w:rsidRPr="00A94E9B">
        <w:rPr>
          <w:rFonts w:ascii="Times New Roman" w:hAnsi="Times New Roman" w:hint="eastAsia"/>
          <w:color w:val="000000"/>
          <w:szCs w:val="24"/>
        </w:rPr>
        <w:t>4</w:t>
      </w:r>
      <w:r w:rsidRPr="00A94E9B">
        <w:rPr>
          <w:rFonts w:ascii="Times New Roman" w:hAnsi="Times New Roman" w:hint="eastAsia"/>
          <w:color w:val="000000"/>
          <w:szCs w:val="24"/>
        </w:rPr>
        <w:t>月</w:t>
      </w:r>
      <w:r w:rsidRPr="00A94E9B">
        <w:rPr>
          <w:rFonts w:ascii="Times New Roman" w:hAnsi="Times New Roman" w:hint="eastAsia"/>
          <w:color w:val="000000"/>
          <w:szCs w:val="24"/>
        </w:rPr>
        <w:t>6</w:t>
      </w:r>
      <w:r w:rsidRPr="00A94E9B">
        <w:rPr>
          <w:rFonts w:ascii="Times New Roman" w:hAnsi="Times New Roman" w:hint="eastAsia"/>
          <w:color w:val="000000"/>
          <w:szCs w:val="24"/>
        </w:rPr>
        <w:t>日後提出博士論文申請者，需</w:t>
      </w:r>
      <w:r w:rsidRPr="00A94E9B">
        <w:rPr>
          <w:rFonts w:ascii="Times New Roman" w:hAnsi="Times New Roman"/>
          <w:color w:val="000000"/>
          <w:szCs w:val="24"/>
        </w:rPr>
        <w:t>於</w:t>
      </w:r>
      <w:r w:rsidRPr="00A94E9B">
        <w:rPr>
          <w:rFonts w:ascii="Times New Roman" w:hAnsi="Times New Roman" w:hint="eastAsia"/>
          <w:color w:val="000000"/>
          <w:szCs w:val="24"/>
        </w:rPr>
        <w:t>提出論文口試申請前於</w:t>
      </w:r>
      <w:r w:rsidRPr="00A94E9B">
        <w:rPr>
          <w:rFonts w:ascii="Times New Roman" w:hAnsi="Times New Roman"/>
          <w:color w:val="000000"/>
          <w:szCs w:val="24"/>
        </w:rPr>
        <w:t>學術性刊物上發表著作</w:t>
      </w:r>
      <w:r w:rsidRPr="00A94E9B">
        <w:rPr>
          <w:rFonts w:ascii="Times New Roman" w:hAnsi="Times New Roman" w:hint="eastAsia"/>
          <w:b/>
          <w:color w:val="000000"/>
          <w:szCs w:val="24"/>
        </w:rPr>
        <w:t>【刊登時須標註</w:t>
      </w:r>
      <w:r w:rsidRPr="00A94E9B">
        <w:rPr>
          <w:rFonts w:ascii="Times New Roman" w:hAnsi="Times New Roman"/>
          <w:b/>
          <w:color w:val="000000"/>
          <w:szCs w:val="24"/>
        </w:rPr>
        <w:t>”</w:t>
      </w:r>
      <w:r w:rsidRPr="00A94E9B">
        <w:rPr>
          <w:rFonts w:ascii="Times New Roman" w:hAnsi="Times New Roman" w:hint="eastAsia"/>
          <w:b/>
          <w:color w:val="000000"/>
          <w:szCs w:val="24"/>
        </w:rPr>
        <w:t>東海大學社會工作學系博士生</w:t>
      </w:r>
      <w:r w:rsidRPr="00A94E9B">
        <w:rPr>
          <w:rFonts w:ascii="Times New Roman" w:hAnsi="Times New Roman"/>
          <w:b/>
          <w:color w:val="000000"/>
          <w:szCs w:val="24"/>
        </w:rPr>
        <w:t>”</w:t>
      </w:r>
      <w:r w:rsidRPr="00A94E9B">
        <w:rPr>
          <w:rFonts w:ascii="Times New Roman" w:hAnsi="Times New Roman" w:hint="eastAsia"/>
          <w:b/>
          <w:color w:val="000000"/>
          <w:szCs w:val="24"/>
        </w:rPr>
        <w:t>身份】</w:t>
      </w:r>
      <w:r w:rsidRPr="00A94E9B">
        <w:rPr>
          <w:rFonts w:ascii="Times New Roman" w:hAnsi="Times New Roman"/>
          <w:color w:val="000000"/>
          <w:szCs w:val="24"/>
        </w:rPr>
        <w:t>達</w:t>
      </w:r>
      <w:r w:rsidRPr="00A94E9B">
        <w:rPr>
          <w:rFonts w:ascii="Times New Roman" w:hAnsi="Times New Roman" w:hint="eastAsia"/>
          <w:color w:val="000000"/>
          <w:szCs w:val="24"/>
        </w:rPr>
        <w:t>最低門檻</w:t>
      </w:r>
      <w:r w:rsidRPr="00A94E9B">
        <w:rPr>
          <w:rFonts w:ascii="Times New Roman" w:hAnsi="Times New Roman" w:hint="eastAsia"/>
          <w:color w:val="000000"/>
          <w:szCs w:val="24"/>
        </w:rPr>
        <w:t>0.6</w:t>
      </w:r>
      <w:r w:rsidRPr="00A94E9B">
        <w:rPr>
          <w:rFonts w:ascii="Times New Roman" w:hAnsi="Times New Roman" w:hint="eastAsia"/>
          <w:color w:val="000000"/>
          <w:szCs w:val="24"/>
        </w:rPr>
        <w:t>分，</w:t>
      </w:r>
      <w:r w:rsidRPr="00A94E9B">
        <w:rPr>
          <w:rFonts w:ascii="Times New Roman" w:hAnsi="Times New Roman"/>
          <w:color w:val="000000"/>
          <w:szCs w:val="24"/>
        </w:rPr>
        <w:t>方可提出學位口試申請</w:t>
      </w:r>
      <w:r w:rsidRPr="00A94E9B">
        <w:rPr>
          <w:rFonts w:ascii="Times New Roman" w:hAnsi="Times New Roman" w:hint="eastAsia"/>
          <w:color w:val="000000"/>
          <w:szCs w:val="24"/>
        </w:rPr>
        <w:t>。點數計算方法說明如下：</w:t>
      </w:r>
    </w:p>
    <w:p w:rsidR="00A94E9B" w:rsidRPr="00A94E9B" w:rsidRDefault="00A94E9B" w:rsidP="00A94E9B">
      <w:pPr>
        <w:spacing w:line="400" w:lineRule="exact"/>
        <w:ind w:left="1080" w:hangingChars="450" w:hanging="1080"/>
        <w:rPr>
          <w:rFonts w:ascii="Times New Roman" w:hAnsi="Times New Roman"/>
          <w:color w:val="000000"/>
          <w:szCs w:val="24"/>
        </w:rPr>
      </w:pPr>
      <w:r w:rsidRPr="00A94E9B">
        <w:rPr>
          <w:rFonts w:ascii="Times New Roman" w:hAnsi="Times New Roman" w:hint="eastAsia"/>
          <w:color w:val="000000"/>
          <w:szCs w:val="24"/>
        </w:rPr>
        <w:t xml:space="preserve">     </w:t>
      </w:r>
      <w:r w:rsidRPr="00A94E9B">
        <w:rPr>
          <w:rFonts w:ascii="Times New Roman" w:hAnsi="Times New Roman" w:hint="eastAsia"/>
          <w:color w:val="000000"/>
          <w:szCs w:val="24"/>
        </w:rPr>
        <w:t>一、依據</w:t>
      </w:r>
      <w:r w:rsidRPr="00A94E9B">
        <w:rPr>
          <w:rFonts w:ascii="Times New Roman" w:hAnsi="Times New Roman" w:hint="eastAsia"/>
          <w:color w:val="000000"/>
          <w:szCs w:val="24"/>
        </w:rPr>
        <w:t>99</w:t>
      </w:r>
      <w:r w:rsidRPr="00A94E9B">
        <w:rPr>
          <w:rFonts w:ascii="Times New Roman" w:hAnsi="Times New Roman" w:hint="eastAsia"/>
          <w:color w:val="000000"/>
          <w:szCs w:val="24"/>
        </w:rPr>
        <w:t>年</w:t>
      </w:r>
      <w:r w:rsidRPr="00A94E9B">
        <w:rPr>
          <w:rFonts w:ascii="Times New Roman" w:hAnsi="Times New Roman" w:hint="eastAsia"/>
          <w:color w:val="000000"/>
          <w:szCs w:val="24"/>
        </w:rPr>
        <w:t>3</w:t>
      </w:r>
      <w:r w:rsidRPr="00A94E9B">
        <w:rPr>
          <w:rFonts w:ascii="Times New Roman" w:hAnsi="Times New Roman" w:hint="eastAsia"/>
          <w:color w:val="000000"/>
          <w:szCs w:val="24"/>
        </w:rPr>
        <w:t>月</w:t>
      </w:r>
      <w:r w:rsidRPr="00A94E9B">
        <w:rPr>
          <w:rFonts w:ascii="Times New Roman" w:hAnsi="Times New Roman" w:hint="eastAsia"/>
          <w:color w:val="000000"/>
          <w:szCs w:val="24"/>
        </w:rPr>
        <w:t>12</w:t>
      </w:r>
      <w:r w:rsidRPr="00A94E9B">
        <w:rPr>
          <w:rFonts w:ascii="Times New Roman" w:hAnsi="Times New Roman" w:hint="eastAsia"/>
          <w:color w:val="000000"/>
          <w:szCs w:val="24"/>
        </w:rPr>
        <w:t>日版的社科院社科院最新專任教師學術著作獎勵審查細則第三條，刊物等級分為「頂尖著作＝</w:t>
      </w:r>
      <w:r w:rsidRPr="00A94E9B">
        <w:rPr>
          <w:rFonts w:ascii="Times New Roman" w:hAnsi="Times New Roman" w:hint="eastAsia"/>
          <w:color w:val="000000"/>
          <w:szCs w:val="24"/>
        </w:rPr>
        <w:t>1.5</w:t>
      </w:r>
      <w:r w:rsidRPr="00A94E9B">
        <w:rPr>
          <w:rFonts w:ascii="Times New Roman" w:hAnsi="Times New Roman" w:hint="eastAsia"/>
          <w:color w:val="000000"/>
          <w:szCs w:val="24"/>
        </w:rPr>
        <w:t>分」、「</w:t>
      </w:r>
      <w:r w:rsidRPr="00A94E9B">
        <w:rPr>
          <w:rFonts w:ascii="Times New Roman" w:hAnsi="Times New Roman" w:hint="eastAsia"/>
          <w:color w:val="000000"/>
          <w:szCs w:val="24"/>
        </w:rPr>
        <w:t>A</w:t>
      </w:r>
      <w:r w:rsidRPr="00A94E9B">
        <w:rPr>
          <w:rFonts w:ascii="Times New Roman" w:hAnsi="Times New Roman" w:hint="eastAsia"/>
          <w:color w:val="000000"/>
          <w:szCs w:val="24"/>
        </w:rPr>
        <w:t>級著作＝</w:t>
      </w:r>
      <w:r w:rsidRPr="00A94E9B">
        <w:rPr>
          <w:rFonts w:ascii="Times New Roman" w:hAnsi="Times New Roman" w:hint="eastAsia"/>
          <w:color w:val="000000"/>
          <w:szCs w:val="24"/>
        </w:rPr>
        <w:t>1</w:t>
      </w:r>
      <w:r w:rsidRPr="00A94E9B">
        <w:rPr>
          <w:rFonts w:ascii="Times New Roman" w:hAnsi="Times New Roman" w:hint="eastAsia"/>
          <w:color w:val="000000"/>
          <w:szCs w:val="24"/>
        </w:rPr>
        <w:t>分」、「</w:t>
      </w:r>
      <w:r w:rsidRPr="00A94E9B">
        <w:rPr>
          <w:rFonts w:ascii="Times New Roman" w:hAnsi="Times New Roman" w:hint="eastAsia"/>
          <w:color w:val="000000"/>
          <w:szCs w:val="24"/>
        </w:rPr>
        <w:t>B</w:t>
      </w:r>
      <w:r w:rsidRPr="00A94E9B">
        <w:rPr>
          <w:rFonts w:ascii="Times New Roman" w:hAnsi="Times New Roman" w:hint="eastAsia"/>
          <w:color w:val="000000"/>
          <w:szCs w:val="24"/>
        </w:rPr>
        <w:t>級著作＝</w:t>
      </w:r>
      <w:r w:rsidRPr="00A94E9B">
        <w:rPr>
          <w:rFonts w:ascii="Times New Roman" w:hAnsi="Times New Roman" w:hint="eastAsia"/>
          <w:color w:val="000000"/>
          <w:szCs w:val="24"/>
        </w:rPr>
        <w:t>0.6</w:t>
      </w:r>
      <w:r w:rsidRPr="00A94E9B">
        <w:rPr>
          <w:rFonts w:ascii="Times New Roman" w:hAnsi="Times New Roman" w:hint="eastAsia"/>
          <w:color w:val="000000"/>
          <w:szCs w:val="24"/>
        </w:rPr>
        <w:t>分」、「</w:t>
      </w:r>
      <w:r w:rsidRPr="00A94E9B">
        <w:rPr>
          <w:rFonts w:ascii="Times New Roman" w:hAnsi="Times New Roman" w:hint="eastAsia"/>
          <w:color w:val="000000"/>
          <w:szCs w:val="24"/>
        </w:rPr>
        <w:t>C</w:t>
      </w:r>
      <w:r w:rsidRPr="00A94E9B">
        <w:rPr>
          <w:rFonts w:ascii="Times New Roman" w:hAnsi="Times New Roman" w:hint="eastAsia"/>
          <w:color w:val="000000"/>
          <w:szCs w:val="24"/>
        </w:rPr>
        <w:t>級著作＝</w:t>
      </w:r>
      <w:r w:rsidRPr="00A94E9B">
        <w:rPr>
          <w:rFonts w:ascii="Times New Roman" w:hAnsi="Times New Roman" w:hint="eastAsia"/>
          <w:color w:val="000000"/>
          <w:szCs w:val="24"/>
        </w:rPr>
        <w:t>0.4</w:t>
      </w:r>
      <w:r w:rsidRPr="00A94E9B">
        <w:rPr>
          <w:rFonts w:ascii="Times New Roman" w:hAnsi="Times New Roman" w:hint="eastAsia"/>
          <w:color w:val="000000"/>
          <w:szCs w:val="24"/>
        </w:rPr>
        <w:t>分」、「</w:t>
      </w:r>
      <w:r w:rsidRPr="00A94E9B">
        <w:rPr>
          <w:rFonts w:ascii="Times New Roman" w:hAnsi="Times New Roman" w:hint="eastAsia"/>
          <w:color w:val="000000"/>
          <w:szCs w:val="24"/>
        </w:rPr>
        <w:t>D</w:t>
      </w:r>
      <w:r w:rsidRPr="00A94E9B">
        <w:rPr>
          <w:rFonts w:ascii="Times New Roman" w:hAnsi="Times New Roman" w:hint="eastAsia"/>
          <w:color w:val="000000"/>
          <w:szCs w:val="24"/>
        </w:rPr>
        <w:t>級著作＝</w:t>
      </w:r>
      <w:r w:rsidRPr="00A94E9B">
        <w:rPr>
          <w:rFonts w:ascii="Times New Roman" w:hAnsi="Times New Roman" w:hint="eastAsia"/>
          <w:color w:val="000000"/>
          <w:szCs w:val="24"/>
        </w:rPr>
        <w:t>0.3</w:t>
      </w:r>
      <w:r w:rsidRPr="00A94E9B">
        <w:rPr>
          <w:rFonts w:ascii="Times New Roman" w:hAnsi="Times New Roman" w:hint="eastAsia"/>
          <w:color w:val="000000"/>
          <w:szCs w:val="24"/>
        </w:rPr>
        <w:t>分」。</w:t>
      </w:r>
    </w:p>
    <w:p w:rsidR="00A94E9B" w:rsidRPr="00A94E9B" w:rsidRDefault="00A94E9B" w:rsidP="00A94E9B">
      <w:pPr>
        <w:snapToGrid w:val="0"/>
        <w:spacing w:line="320" w:lineRule="atLeast"/>
        <w:ind w:leftChars="200" w:left="1080" w:right="-207" w:hangingChars="250" w:hanging="600"/>
        <w:jc w:val="both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 xml:space="preserve"> 二、根據東海大學學術著作辦法中，有關合著著作的權重計算方式為：第一作者＝1，通訊作者＝第一作者＝1，第二作者＝0.5，第三作者＝0.3，第四作者以及之後的排名＝0.1。</w:t>
      </w:r>
    </w:p>
    <w:p w:rsidR="00A94E9B" w:rsidRPr="00A94E9B" w:rsidRDefault="00A94E9B" w:rsidP="00A94E9B">
      <w:pPr>
        <w:widowControl/>
        <w:ind w:leftChars="472" w:left="1133"/>
        <w:jc w:val="both"/>
        <w:rPr>
          <w:rFonts w:ascii="新細明體" w:hAnsi="新細明體" w:cs="新細明體"/>
          <w:b/>
          <w:color w:val="000000"/>
          <w:kern w:val="0"/>
          <w:szCs w:val="24"/>
        </w:rPr>
      </w:pPr>
      <w:r w:rsidRPr="00A94E9B">
        <w:rPr>
          <w:rFonts w:ascii="Times New Roman" w:hAnsi="Times New Roman" w:hint="eastAsia"/>
          <w:b/>
          <w:color w:val="000000"/>
          <w:szCs w:val="24"/>
        </w:rPr>
        <w:t>附註：</w:t>
      </w:r>
      <w:r w:rsidRPr="00A94E9B">
        <w:rPr>
          <w:rFonts w:ascii="Times New Roman" w:eastAsia="細明體" w:hAnsi="Times New Roman" w:hint="eastAsia"/>
          <w:b/>
          <w:color w:val="000000"/>
          <w:szCs w:val="20"/>
        </w:rPr>
        <w:t>有關合著者同時有二人擁有第</w:t>
      </w:r>
      <w:r w:rsidRPr="00A94E9B">
        <w:rPr>
          <w:rFonts w:ascii="Times New Roman" w:eastAsia="細明體" w:hAnsi="Times New Roman" w:hint="eastAsia"/>
          <w:b/>
          <w:color w:val="000000"/>
          <w:szCs w:val="20"/>
        </w:rPr>
        <w:t>1</w:t>
      </w:r>
      <w:r w:rsidRPr="00A94E9B">
        <w:rPr>
          <w:rFonts w:ascii="Times New Roman" w:eastAsia="細明體" w:hAnsi="Times New Roman" w:hint="eastAsia"/>
          <w:b/>
          <w:color w:val="000000"/>
          <w:szCs w:val="20"/>
        </w:rPr>
        <w:t>作者與通訊作者身份時，比照</w:t>
      </w:r>
      <w:r w:rsidRPr="00A94E9B">
        <w:rPr>
          <w:rFonts w:ascii="新細明體" w:hAnsi="新細明體" w:cs="新細明體"/>
          <w:b/>
          <w:color w:val="000000"/>
          <w:kern w:val="0"/>
          <w:szCs w:val="24"/>
        </w:rPr>
        <w:t>「</w:t>
      </w:r>
      <w:hyperlink r:id="rId9" w:history="1">
        <w:r w:rsidRPr="00A94E9B">
          <w:rPr>
            <w:rFonts w:ascii="新細明體" w:hAnsi="新細明體" w:cs="新細明體"/>
            <w:b/>
            <w:color w:val="000000"/>
            <w:kern w:val="0"/>
            <w:szCs w:val="24"/>
          </w:rPr>
          <w:t>東海大學教師升等辦法暨著作審查注意事項</w:t>
        </w:r>
      </w:hyperlink>
      <w:r w:rsidRPr="00A94E9B">
        <w:rPr>
          <w:rFonts w:ascii="新細明體" w:hAnsi="新細明體" w:cs="新細明體" w:hint="eastAsia"/>
          <w:b/>
          <w:color w:val="000000"/>
          <w:kern w:val="0"/>
          <w:szCs w:val="24"/>
        </w:rPr>
        <w:t>」精神--</w:t>
      </w:r>
      <w:r w:rsidRPr="00A94E9B">
        <w:rPr>
          <w:rFonts w:ascii="新細明體" w:hAnsi="新細明體" w:cs="標楷體" w:hint="eastAsia"/>
          <w:b/>
          <w:color w:val="000000"/>
          <w:szCs w:val="24"/>
        </w:rPr>
        <w:t>僅得由其中一人送審，其他合著人均需放棄以該著作做為代表著作送審之權利，送審人應檢附合著人證明並分別詳述合著之貢獻度與百分比，並由合著人簽章證明之。</w:t>
      </w:r>
    </w:p>
    <w:p w:rsidR="00A94E9B" w:rsidRPr="00A94E9B" w:rsidRDefault="00A94E9B" w:rsidP="00A94E9B">
      <w:pPr>
        <w:snapToGrid w:val="0"/>
        <w:spacing w:line="320" w:lineRule="atLeast"/>
        <w:ind w:leftChars="250" w:left="1080" w:right="-207" w:hangingChars="200" w:hanging="480"/>
        <w:jc w:val="both"/>
        <w:rPr>
          <w:rFonts w:ascii="細明體" w:eastAsia="細明體" w:hAnsi="Courier New"/>
          <w:color w:val="000000"/>
          <w:szCs w:val="20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>三、每一篇所發表著作點數之計算公式為：</w:t>
      </w:r>
      <w:r w:rsidRPr="00A94E9B">
        <w:rPr>
          <w:rFonts w:ascii="細明體" w:eastAsia="細明體" w:hAnsi="Courier New" w:hint="eastAsia"/>
          <w:color w:val="000000"/>
          <w:szCs w:val="20"/>
        </w:rPr>
        <w:t>刊物等級分數×作者權重分數＝此篇著作之點數。</w:t>
      </w:r>
    </w:p>
    <w:p w:rsidR="00A94E9B" w:rsidRPr="00A94E9B" w:rsidRDefault="00A94E9B" w:rsidP="00A94E9B">
      <w:pPr>
        <w:snapToGrid w:val="0"/>
        <w:spacing w:line="320" w:lineRule="atLeast"/>
        <w:ind w:leftChars="200" w:left="2160" w:right="-207" w:hangingChars="700" w:hanging="1680"/>
        <w:jc w:val="both"/>
        <w:rPr>
          <w:rFonts w:ascii="細明體" w:eastAsia="細明體" w:hAnsi="Courier New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4"/>
        </w:rPr>
        <w:t xml:space="preserve"> 四、刊物等級之說明：</w:t>
      </w:r>
    </w:p>
    <w:p w:rsidR="00A94E9B" w:rsidRPr="00A94E9B" w:rsidRDefault="00A94E9B" w:rsidP="00A94E9B">
      <w:pPr>
        <w:tabs>
          <w:tab w:val="left" w:pos="4320"/>
          <w:tab w:val="left" w:pos="6480"/>
        </w:tabs>
        <w:spacing w:line="0" w:lineRule="atLeast"/>
        <w:ind w:leftChars="350" w:left="2400" w:hangingChars="650" w:hanging="156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(一)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頂尖著作：論文刊登於SSCI、</w:t>
      </w: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ECONLIT、EI、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SCI或水準相當之期刊，且Impact Factor在該領域前10%之論文，或獲國內外最頂尖獎項之著作。</w:t>
      </w:r>
    </w:p>
    <w:p w:rsidR="00A94E9B" w:rsidRPr="00A94E9B" w:rsidRDefault="00A94E9B" w:rsidP="00A94E9B">
      <w:pPr>
        <w:tabs>
          <w:tab w:val="left" w:pos="4320"/>
          <w:tab w:val="left" w:pos="6480"/>
        </w:tabs>
        <w:spacing w:line="0" w:lineRule="atLeast"/>
        <w:ind w:leftChars="350" w:left="2040" w:hangingChars="500" w:hanging="120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(二)A級：論文刊登於SSCI、ECONLIT、EI、SCI或水準相當之期刊，且Impact Factor在該領域前50%，或刊登於統計與機率領域之前70%之論文，或有審查制度之中外文專書。</w:t>
      </w:r>
    </w:p>
    <w:p w:rsidR="00A94E9B" w:rsidRPr="00A94E9B" w:rsidRDefault="00A94E9B" w:rsidP="00A94E9B">
      <w:pPr>
        <w:tabs>
          <w:tab w:val="left" w:pos="4320"/>
          <w:tab w:val="left" w:pos="6480"/>
        </w:tabs>
        <w:spacing w:line="0" w:lineRule="atLeast"/>
        <w:ind w:leftChars="300" w:left="2040" w:hangingChars="550" w:hanging="132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細明體" w:eastAsia="細明體" w:hAnsi="Courier New" w:hint="eastAsia"/>
          <w:color w:val="000000"/>
          <w:szCs w:val="20"/>
        </w:rPr>
        <w:t xml:space="preserve"> (三)</w:t>
      </w: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B級：論文刊登於SSCI、SCI、ECONLIT、FLI、EI或水準相當之期刊，且Impact Factor在該領域前80%，或刊登於統計與機率領域非前70%之論文，</w:t>
      </w:r>
      <w:r w:rsidRPr="00A94E9B">
        <w:rPr>
          <w:rFonts w:ascii="新細明體" w:hAnsi="新細明體" w:hint="eastAsia"/>
          <w:color w:val="000000"/>
          <w:szCs w:val="24"/>
        </w:rPr>
        <w:t>或刊</w:t>
      </w:r>
      <w:r w:rsidRPr="00A94E9B">
        <w:rPr>
          <w:rFonts w:ascii="新細明體" w:hAnsi="新細明體" w:hint="eastAsia"/>
          <w:color w:val="000000"/>
          <w:szCs w:val="24"/>
        </w:rPr>
        <w:lastRenderedPageBreak/>
        <w:t>登於社工領域之外文期刊論文，</w:t>
      </w: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或收錄於TSSCI期刊論文、外文書籍單篇論文。</w:t>
      </w:r>
    </w:p>
    <w:p w:rsidR="00A94E9B" w:rsidRPr="00A94E9B" w:rsidRDefault="00A94E9B" w:rsidP="00A94E9B">
      <w:pPr>
        <w:widowControl/>
        <w:spacing w:line="280" w:lineRule="exact"/>
        <w:ind w:firstLineChars="350" w:firstLine="840"/>
        <w:rPr>
          <w:rFonts w:ascii="新細明體" w:hAnsi="新細明體" w:cs="新細明體"/>
          <w:color w:val="000000"/>
          <w:kern w:val="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(四)C級：</w:t>
      </w:r>
    </w:p>
    <w:p w:rsidR="00A94E9B" w:rsidRPr="00A94E9B" w:rsidRDefault="00A94E9B" w:rsidP="00A94E9B">
      <w:pPr>
        <w:widowControl/>
        <w:spacing w:line="280" w:lineRule="exact"/>
        <w:ind w:leftChars="500" w:left="1440" w:hangingChars="100" w:hanging="240"/>
        <w:rPr>
          <w:rFonts w:ascii="新細明體" w:hAnsi="新細明體" w:cs="新細明體"/>
          <w:color w:val="000000"/>
          <w:kern w:val="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1.其他刊登於SSCI、ECONLIT 、EI、SCI或水準相當，具審查機制之中外文研究論文，或中外文書籍。</w:t>
      </w:r>
    </w:p>
    <w:p w:rsidR="00A94E9B" w:rsidRPr="00A94E9B" w:rsidRDefault="00A94E9B" w:rsidP="00A94E9B">
      <w:pPr>
        <w:widowControl/>
        <w:spacing w:line="280" w:lineRule="exact"/>
        <w:ind w:firstLineChars="500" w:firstLine="1200"/>
        <w:rPr>
          <w:rFonts w:ascii="新細明體" w:hAnsi="新細明體" w:cs="新細明體"/>
          <w:color w:val="000000"/>
          <w:kern w:val="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2.論文刊登於中國大陸公布之CSSCI期刊著作。</w:t>
      </w:r>
    </w:p>
    <w:p w:rsidR="00A94E9B" w:rsidRPr="00A94E9B" w:rsidRDefault="00A94E9B" w:rsidP="00A94E9B">
      <w:pPr>
        <w:tabs>
          <w:tab w:val="left" w:pos="4320"/>
          <w:tab w:val="left" w:pos="6480"/>
        </w:tabs>
        <w:spacing w:line="0" w:lineRule="atLeast"/>
        <w:ind w:firstLineChars="500" w:firstLine="120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3.論文刊登於ABI商管期刊或CIES期刊著作。</w:t>
      </w:r>
    </w:p>
    <w:p w:rsidR="00A94E9B" w:rsidRPr="00A94E9B" w:rsidRDefault="00A94E9B" w:rsidP="00A94E9B">
      <w:pPr>
        <w:tabs>
          <w:tab w:val="left" w:pos="4320"/>
          <w:tab w:val="left" w:pos="6480"/>
        </w:tabs>
        <w:spacing w:line="0" w:lineRule="atLeast"/>
        <w:ind w:firstLineChars="350" w:firstLine="840"/>
        <w:jc w:val="both"/>
        <w:rPr>
          <w:rFonts w:ascii="新細明體" w:hAnsi="新細明體"/>
          <w:color w:val="000000"/>
          <w:szCs w:val="24"/>
        </w:rPr>
      </w:pPr>
      <w:r w:rsidRPr="00A94E9B">
        <w:rPr>
          <w:rFonts w:ascii="新細明體" w:hAnsi="新細明體" w:cs="新細明體" w:hint="eastAsia"/>
          <w:color w:val="000000"/>
          <w:kern w:val="0"/>
          <w:szCs w:val="24"/>
        </w:rPr>
        <w:t>(五)</w:t>
      </w:r>
      <w:r w:rsidRPr="00A94E9B">
        <w:rPr>
          <w:rFonts w:ascii="新細明體" w:hAnsi="新細明體" w:hint="eastAsia"/>
          <w:color w:val="000000"/>
          <w:kern w:val="0"/>
          <w:szCs w:val="24"/>
        </w:rPr>
        <w:t>D級：其他不屬於前列之研究論文，經證明審查通過者。</w:t>
      </w:r>
    </w:p>
    <w:p w:rsidR="00A94E9B" w:rsidRPr="00A94E9B" w:rsidRDefault="00A94E9B" w:rsidP="00A94E9B">
      <w:pPr>
        <w:ind w:leftChars="50" w:left="1080" w:hangingChars="400" w:hanging="960"/>
        <w:rPr>
          <w:rFonts w:ascii="Times New Roman" w:hAnsi="Times New Roman"/>
          <w:color w:val="000000"/>
          <w:szCs w:val="24"/>
        </w:rPr>
      </w:pPr>
      <w:r w:rsidRPr="00A94E9B">
        <w:rPr>
          <w:rFonts w:ascii="Times New Roman" w:hAnsi="Times New Roman" w:hint="eastAsia"/>
          <w:color w:val="000000"/>
          <w:szCs w:val="24"/>
        </w:rPr>
        <w:t>註三：不在修業規則中列舉學刊名稱，改為提供相關學刊名稱給研究生參考。</w:t>
      </w: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A94E9B">
      <w:pPr>
        <w:ind w:right="33"/>
        <w:jc w:val="center"/>
        <w:rPr>
          <w:rFonts w:ascii="細明體" w:eastAsia="細明體" w:hAnsi="Courier New"/>
          <w:b/>
          <w:sz w:val="32"/>
          <w:szCs w:val="32"/>
        </w:rPr>
      </w:pPr>
    </w:p>
    <w:p w:rsidR="00A94E9B" w:rsidRPr="00A94E9B" w:rsidRDefault="00A94E9B" w:rsidP="002200BC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</w:p>
    <w:p w:rsidR="00A94E9B" w:rsidRDefault="00A94E9B" w:rsidP="002200BC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</w:p>
    <w:p w:rsidR="002200BC" w:rsidRPr="002200BC" w:rsidRDefault="002200BC" w:rsidP="00EF1124">
      <w:pPr>
        <w:spacing w:beforeLines="20" w:before="72" w:afterLines="20" w:after="72"/>
        <w:ind w:left="260" w:hangingChars="100" w:hanging="260"/>
        <w:rPr>
          <w:rFonts w:ascii="Times New Roman" w:eastAsia="標楷體" w:hAnsi="標楷體"/>
          <w:sz w:val="26"/>
          <w:szCs w:val="26"/>
        </w:rPr>
      </w:pPr>
    </w:p>
    <w:sectPr w:rsidR="002200BC" w:rsidRPr="002200BC" w:rsidSect="007805EF">
      <w:type w:val="continuous"/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08E" w:rsidRDefault="00CD708E" w:rsidP="001D763B">
      <w:r>
        <w:separator/>
      </w:r>
    </w:p>
  </w:endnote>
  <w:endnote w:type="continuationSeparator" w:id="0">
    <w:p w:rsidR="00CD708E" w:rsidRDefault="00CD708E" w:rsidP="001D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71E281-F06E-456C-A9F5-79E9484DD5E6}"/>
    <w:embedBold r:id="rId2" w:fontKey="{C64E73AA-FFFC-4862-834F-C0A91C60A08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EE56B2EB-D9E2-4670-944F-ACD200E8A08D}"/>
    <w:embedBold r:id="rId4" w:subsetted="1" w:fontKey="{7F1AE71F-2B8D-4AAB-8894-27C46E98FE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BE4B76A-4A4E-4C0E-BF1B-4DF89635A9D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6" w:subsetted="1" w:fontKey="{D4D67DE3-4383-46A4-BC51-F4F45D835999}"/>
    <w:embedBold r:id="rId7" w:subsetted="1" w:fontKey="{DE81B16B-9A2D-447D-8B32-330ADF24D9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E4D15673-92BC-409F-84A3-B398FDA9B147}"/>
    <w:embedBold r:id="rId9" w:fontKey="{4F8B42C3-545E-45CE-897F-DFFA1DAA858B}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78B7A12-7047-4ABC-94CC-A16E6A756CD9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11" w:subsetted="1" w:fontKey="{C94227B7-298D-4CA8-A29B-F5BC18C56F22}"/>
    <w:embedBold r:id="rId12" w:subsetted="1" w:fontKey="{69B7F79C-D559-4962-8EA9-10189D6C36F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3" w:fontKey="{BEC8CF73-4C8D-4202-92E7-3A287ABABAA5}"/>
    <w:embedBold r:id="rId14" w:fontKey="{F7FA2E22-1FA1-4C68-95FF-B2360BBDD9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5" w:subsetted="1" w:fontKey="{DE3B5940-49C7-4B3F-8246-CC315C5660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08E" w:rsidRDefault="00CD708E" w:rsidP="001D763B">
      <w:r>
        <w:separator/>
      </w:r>
    </w:p>
  </w:footnote>
  <w:footnote w:type="continuationSeparator" w:id="0">
    <w:p w:rsidR="00CD708E" w:rsidRDefault="00CD708E" w:rsidP="001D7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509F"/>
    <w:multiLevelType w:val="singleLevel"/>
    <w:tmpl w:val="36586002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abstractNum w:abstractNumId="1" w15:restartNumberingAfterBreak="0">
    <w:nsid w:val="0FD92C66"/>
    <w:multiLevelType w:val="singleLevel"/>
    <w:tmpl w:val="E1D2EA60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abstractNum w:abstractNumId="2" w15:restartNumberingAfterBreak="0">
    <w:nsid w:val="19AE5FEF"/>
    <w:multiLevelType w:val="hybridMultilevel"/>
    <w:tmpl w:val="3A985876"/>
    <w:lvl w:ilvl="0" w:tplc="5484C9D2">
      <w:start w:val="6"/>
      <w:numFmt w:val="taiwaneseCountingThousand"/>
      <w:lvlText w:val="第%1條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6CD4F4F"/>
    <w:multiLevelType w:val="hybridMultilevel"/>
    <w:tmpl w:val="3FC23F7A"/>
    <w:lvl w:ilvl="0" w:tplc="297CFA0C">
      <w:start w:val="2"/>
      <w:numFmt w:val="bullet"/>
      <w:lvlText w:val="■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3FC0E57"/>
    <w:multiLevelType w:val="singleLevel"/>
    <w:tmpl w:val="980C835C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abstractNum w:abstractNumId="5" w15:restartNumberingAfterBreak="0">
    <w:nsid w:val="3F613761"/>
    <w:multiLevelType w:val="singleLevel"/>
    <w:tmpl w:val="62802AD2"/>
    <w:lvl w:ilvl="0">
      <w:start w:val="1"/>
      <w:numFmt w:val="taiwaneseCountingThousand"/>
      <w:lvlText w:val="%1、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abstractNum w:abstractNumId="6" w15:restartNumberingAfterBreak="0">
    <w:nsid w:val="4FDF72BB"/>
    <w:multiLevelType w:val="hybridMultilevel"/>
    <w:tmpl w:val="66D80BEA"/>
    <w:lvl w:ilvl="0" w:tplc="128E3B24">
      <w:start w:val="4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54186A0B"/>
    <w:multiLevelType w:val="singleLevel"/>
    <w:tmpl w:val="D22C8272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abstractNum w:abstractNumId="8" w15:restartNumberingAfterBreak="0">
    <w:nsid w:val="630F1262"/>
    <w:multiLevelType w:val="hybridMultilevel"/>
    <w:tmpl w:val="DB2EEF0A"/>
    <w:lvl w:ilvl="0" w:tplc="3DB25C3C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843212E"/>
    <w:multiLevelType w:val="singleLevel"/>
    <w:tmpl w:val="598CD8F2"/>
    <w:lvl w:ilvl="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</w:abstractNum>
  <w:abstractNum w:abstractNumId="10" w15:restartNumberingAfterBreak="0">
    <w:nsid w:val="6A6C753D"/>
    <w:multiLevelType w:val="hybridMultilevel"/>
    <w:tmpl w:val="4D6CA650"/>
    <w:lvl w:ilvl="0" w:tplc="08367552">
      <w:start w:val="1"/>
      <w:numFmt w:val="taiwaneseCountingThousand"/>
      <w:lvlText w:val="%1、"/>
      <w:lvlJc w:val="left"/>
      <w:pPr>
        <w:ind w:left="510" w:hanging="51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4680E58"/>
    <w:multiLevelType w:val="singleLevel"/>
    <w:tmpl w:val="FAEE12C8"/>
    <w:lvl w:ilvl="0">
      <w:start w:val="1"/>
      <w:numFmt w:val="taiwaneseCountingThousand"/>
      <w:lvlText w:val="(%1)"/>
      <w:lvlJc w:val="left"/>
      <w:pPr>
        <w:tabs>
          <w:tab w:val="num" w:pos="1200"/>
        </w:tabs>
        <w:ind w:left="1200" w:hanging="480"/>
      </w:pPr>
      <w:rPr>
        <w:rFonts w:hint="eastAsia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11"/>
  </w:num>
  <w:num w:numId="10">
    <w:abstractNumId w:val="0"/>
  </w:num>
  <w:num w:numId="11">
    <w:abstractNumId w:val="2"/>
  </w:num>
  <w:num w:numId="12">
    <w:abstractNumId w:val="5"/>
    <w:lvlOverride w:ilvl="0">
      <w:startOverride w:val="5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3B"/>
    <w:rsid w:val="00003DD1"/>
    <w:rsid w:val="00020B36"/>
    <w:rsid w:val="00020BB9"/>
    <w:rsid w:val="0002372F"/>
    <w:rsid w:val="0002573B"/>
    <w:rsid w:val="000318F4"/>
    <w:rsid w:val="000404C4"/>
    <w:rsid w:val="00042CB2"/>
    <w:rsid w:val="00046333"/>
    <w:rsid w:val="0004655E"/>
    <w:rsid w:val="00047558"/>
    <w:rsid w:val="000658A8"/>
    <w:rsid w:val="00072EAC"/>
    <w:rsid w:val="000B4C5A"/>
    <w:rsid w:val="000B7073"/>
    <w:rsid w:val="000C7C6A"/>
    <w:rsid w:val="000D1BC9"/>
    <w:rsid w:val="000E013F"/>
    <w:rsid w:val="00120EFA"/>
    <w:rsid w:val="001527C7"/>
    <w:rsid w:val="00163352"/>
    <w:rsid w:val="00166E84"/>
    <w:rsid w:val="00167031"/>
    <w:rsid w:val="001707DD"/>
    <w:rsid w:val="001A15C4"/>
    <w:rsid w:val="001B4CDE"/>
    <w:rsid w:val="001D763B"/>
    <w:rsid w:val="001E2F40"/>
    <w:rsid w:val="002017F0"/>
    <w:rsid w:val="00204EC0"/>
    <w:rsid w:val="0021493B"/>
    <w:rsid w:val="002200BC"/>
    <w:rsid w:val="00250912"/>
    <w:rsid w:val="00270DA7"/>
    <w:rsid w:val="00272F99"/>
    <w:rsid w:val="00280AFF"/>
    <w:rsid w:val="002A0831"/>
    <w:rsid w:val="002B61C7"/>
    <w:rsid w:val="002D4F46"/>
    <w:rsid w:val="002D5BAA"/>
    <w:rsid w:val="002D5D19"/>
    <w:rsid w:val="002E62BB"/>
    <w:rsid w:val="002F2DA7"/>
    <w:rsid w:val="00335C11"/>
    <w:rsid w:val="00341D44"/>
    <w:rsid w:val="00344052"/>
    <w:rsid w:val="003A1707"/>
    <w:rsid w:val="003B5C7E"/>
    <w:rsid w:val="003B6E68"/>
    <w:rsid w:val="003C0762"/>
    <w:rsid w:val="003C3832"/>
    <w:rsid w:val="003C3D8B"/>
    <w:rsid w:val="003C7366"/>
    <w:rsid w:val="003D2610"/>
    <w:rsid w:val="003D7F7B"/>
    <w:rsid w:val="003F5C03"/>
    <w:rsid w:val="00400D6D"/>
    <w:rsid w:val="0041060A"/>
    <w:rsid w:val="0043650E"/>
    <w:rsid w:val="00452693"/>
    <w:rsid w:val="004579F1"/>
    <w:rsid w:val="00467745"/>
    <w:rsid w:val="00485DB8"/>
    <w:rsid w:val="004868F1"/>
    <w:rsid w:val="004B34FC"/>
    <w:rsid w:val="004D5B8D"/>
    <w:rsid w:val="004F478F"/>
    <w:rsid w:val="0050328A"/>
    <w:rsid w:val="005103BB"/>
    <w:rsid w:val="005112EC"/>
    <w:rsid w:val="00525CCD"/>
    <w:rsid w:val="0052722E"/>
    <w:rsid w:val="00554945"/>
    <w:rsid w:val="00563087"/>
    <w:rsid w:val="00574101"/>
    <w:rsid w:val="0058591F"/>
    <w:rsid w:val="005B0175"/>
    <w:rsid w:val="005C4092"/>
    <w:rsid w:val="005D4004"/>
    <w:rsid w:val="005E1A60"/>
    <w:rsid w:val="005E2E15"/>
    <w:rsid w:val="00607877"/>
    <w:rsid w:val="00635E86"/>
    <w:rsid w:val="006444FF"/>
    <w:rsid w:val="00651CD9"/>
    <w:rsid w:val="0065355B"/>
    <w:rsid w:val="0066113B"/>
    <w:rsid w:val="00667D45"/>
    <w:rsid w:val="006726DE"/>
    <w:rsid w:val="00673118"/>
    <w:rsid w:val="00673F03"/>
    <w:rsid w:val="00675377"/>
    <w:rsid w:val="0067639B"/>
    <w:rsid w:val="00684FC9"/>
    <w:rsid w:val="00696B68"/>
    <w:rsid w:val="006A2912"/>
    <w:rsid w:val="006A632B"/>
    <w:rsid w:val="006A6592"/>
    <w:rsid w:val="006B2637"/>
    <w:rsid w:val="006E56C2"/>
    <w:rsid w:val="006F4234"/>
    <w:rsid w:val="00712416"/>
    <w:rsid w:val="007167D8"/>
    <w:rsid w:val="00721A08"/>
    <w:rsid w:val="00721D8E"/>
    <w:rsid w:val="00723B33"/>
    <w:rsid w:val="00731662"/>
    <w:rsid w:val="00733CE8"/>
    <w:rsid w:val="007805EF"/>
    <w:rsid w:val="0078320B"/>
    <w:rsid w:val="007A3236"/>
    <w:rsid w:val="007B2DEE"/>
    <w:rsid w:val="007B72E2"/>
    <w:rsid w:val="007C4988"/>
    <w:rsid w:val="00806D3B"/>
    <w:rsid w:val="00821BA9"/>
    <w:rsid w:val="008226F7"/>
    <w:rsid w:val="00825A61"/>
    <w:rsid w:val="00841D72"/>
    <w:rsid w:val="008A1892"/>
    <w:rsid w:val="008B5A69"/>
    <w:rsid w:val="008B77EB"/>
    <w:rsid w:val="008C0E0D"/>
    <w:rsid w:val="008C3BF2"/>
    <w:rsid w:val="008C7AE1"/>
    <w:rsid w:val="008E0F75"/>
    <w:rsid w:val="008E222A"/>
    <w:rsid w:val="008E3AF5"/>
    <w:rsid w:val="0090067F"/>
    <w:rsid w:val="00911ACF"/>
    <w:rsid w:val="00911DF2"/>
    <w:rsid w:val="00935646"/>
    <w:rsid w:val="00936245"/>
    <w:rsid w:val="00970076"/>
    <w:rsid w:val="009C42C5"/>
    <w:rsid w:val="009C527A"/>
    <w:rsid w:val="009D7D45"/>
    <w:rsid w:val="009F4B47"/>
    <w:rsid w:val="009F52A1"/>
    <w:rsid w:val="009F6172"/>
    <w:rsid w:val="009F6A8E"/>
    <w:rsid w:val="009F737F"/>
    <w:rsid w:val="00A018BB"/>
    <w:rsid w:val="00A02E9E"/>
    <w:rsid w:val="00A2295C"/>
    <w:rsid w:val="00A33AFD"/>
    <w:rsid w:val="00A36880"/>
    <w:rsid w:val="00A42E35"/>
    <w:rsid w:val="00A523FB"/>
    <w:rsid w:val="00A55B48"/>
    <w:rsid w:val="00A641A0"/>
    <w:rsid w:val="00A76450"/>
    <w:rsid w:val="00A94E9B"/>
    <w:rsid w:val="00AC0A53"/>
    <w:rsid w:val="00AE4A8E"/>
    <w:rsid w:val="00AF44F3"/>
    <w:rsid w:val="00AF666F"/>
    <w:rsid w:val="00B0518C"/>
    <w:rsid w:val="00B12B94"/>
    <w:rsid w:val="00B316DE"/>
    <w:rsid w:val="00B32907"/>
    <w:rsid w:val="00B36215"/>
    <w:rsid w:val="00B37D49"/>
    <w:rsid w:val="00B432F3"/>
    <w:rsid w:val="00B75AD0"/>
    <w:rsid w:val="00B8003C"/>
    <w:rsid w:val="00B85F22"/>
    <w:rsid w:val="00BD4997"/>
    <w:rsid w:val="00BE095F"/>
    <w:rsid w:val="00BE0F82"/>
    <w:rsid w:val="00BF2449"/>
    <w:rsid w:val="00BF7342"/>
    <w:rsid w:val="00C00FF2"/>
    <w:rsid w:val="00C10406"/>
    <w:rsid w:val="00C118DA"/>
    <w:rsid w:val="00C602A9"/>
    <w:rsid w:val="00C6618D"/>
    <w:rsid w:val="00C66C86"/>
    <w:rsid w:val="00C82549"/>
    <w:rsid w:val="00C83902"/>
    <w:rsid w:val="00C961FB"/>
    <w:rsid w:val="00CA7202"/>
    <w:rsid w:val="00CD3FDF"/>
    <w:rsid w:val="00CD708E"/>
    <w:rsid w:val="00CF667F"/>
    <w:rsid w:val="00D01377"/>
    <w:rsid w:val="00D16F0F"/>
    <w:rsid w:val="00D326DD"/>
    <w:rsid w:val="00D4246D"/>
    <w:rsid w:val="00D544C3"/>
    <w:rsid w:val="00D5744E"/>
    <w:rsid w:val="00D60E1F"/>
    <w:rsid w:val="00D65114"/>
    <w:rsid w:val="00D77A47"/>
    <w:rsid w:val="00DA3675"/>
    <w:rsid w:val="00DB23B5"/>
    <w:rsid w:val="00DB4AC1"/>
    <w:rsid w:val="00DD4B26"/>
    <w:rsid w:val="00DD548D"/>
    <w:rsid w:val="00DF64EB"/>
    <w:rsid w:val="00E03E5C"/>
    <w:rsid w:val="00E31D64"/>
    <w:rsid w:val="00E3577A"/>
    <w:rsid w:val="00E51BB2"/>
    <w:rsid w:val="00E52204"/>
    <w:rsid w:val="00E5339D"/>
    <w:rsid w:val="00E54CB2"/>
    <w:rsid w:val="00E62B9C"/>
    <w:rsid w:val="00E62E95"/>
    <w:rsid w:val="00E8003F"/>
    <w:rsid w:val="00E83A88"/>
    <w:rsid w:val="00EA3F99"/>
    <w:rsid w:val="00EA6C39"/>
    <w:rsid w:val="00EB40D4"/>
    <w:rsid w:val="00EC60CF"/>
    <w:rsid w:val="00ED09AE"/>
    <w:rsid w:val="00ED3195"/>
    <w:rsid w:val="00EE3696"/>
    <w:rsid w:val="00EF1124"/>
    <w:rsid w:val="00F1201A"/>
    <w:rsid w:val="00F155B1"/>
    <w:rsid w:val="00F32AAD"/>
    <w:rsid w:val="00F34D84"/>
    <w:rsid w:val="00F40BC3"/>
    <w:rsid w:val="00F40BDC"/>
    <w:rsid w:val="00F4752B"/>
    <w:rsid w:val="00F47909"/>
    <w:rsid w:val="00F669DE"/>
    <w:rsid w:val="00F736CF"/>
    <w:rsid w:val="00F8081A"/>
    <w:rsid w:val="00F857C4"/>
    <w:rsid w:val="00F86E74"/>
    <w:rsid w:val="00F95138"/>
    <w:rsid w:val="00F95299"/>
    <w:rsid w:val="00F97152"/>
    <w:rsid w:val="00F9742C"/>
    <w:rsid w:val="00FB2A3B"/>
    <w:rsid w:val="00FC4BD1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515EFD1-540C-4F62-B19E-B080202D5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AF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4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D763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1D76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763B"/>
    <w:rPr>
      <w:kern w:val="2"/>
    </w:rPr>
  </w:style>
  <w:style w:type="paragraph" w:styleId="a7">
    <w:name w:val="footer"/>
    <w:basedOn w:val="a"/>
    <w:link w:val="a8"/>
    <w:uiPriority w:val="99"/>
    <w:unhideWhenUsed/>
    <w:rsid w:val="001D76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763B"/>
    <w:rPr>
      <w:kern w:val="2"/>
    </w:rPr>
  </w:style>
  <w:style w:type="paragraph" w:customStyle="1" w:styleId="a9">
    <w:name w:val="附註※"/>
    <w:basedOn w:val="a"/>
    <w:rsid w:val="00E62E95"/>
    <w:pPr>
      <w:spacing w:beforeLines="20" w:line="300" w:lineRule="exact"/>
      <w:ind w:leftChars="25" w:left="125" w:right="57" w:hangingChars="100" w:hanging="100"/>
      <w:jc w:val="both"/>
    </w:pPr>
    <w:rPr>
      <w:rFonts w:ascii="新細明體" w:hAnsi="Times New Roman"/>
      <w:sz w:val="20"/>
      <w:szCs w:val="20"/>
    </w:rPr>
  </w:style>
  <w:style w:type="paragraph" w:styleId="aa">
    <w:name w:val="List Paragraph"/>
    <w:basedOn w:val="a"/>
    <w:uiPriority w:val="34"/>
    <w:qFormat/>
    <w:rsid w:val="008B5A69"/>
    <w:pPr>
      <w:ind w:leftChars="200" w:left="480"/>
    </w:pPr>
  </w:style>
  <w:style w:type="paragraph" w:customStyle="1" w:styleId="Default">
    <w:name w:val="Default"/>
    <w:rsid w:val="00C8254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658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58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6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en.stust.edu.tw/cpx/index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hulaw.thu.edu.tw/thulaw/public/LawClass/ShowLawContent?LCode=2011-06-09-00626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5A8F6-A1C7-4F20-9F67-DB4423FF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791</Words>
  <Characters>4514</Characters>
  <Application>Microsoft Office Word</Application>
  <DocSecurity>0</DocSecurity>
  <Lines>37</Lines>
  <Paragraphs>10</Paragraphs>
  <ScaleCrop>false</ScaleCrop>
  <Company/>
  <LinksUpToDate>false</LinksUpToDate>
  <CharactersWithSpaces>5295</CharactersWithSpaces>
  <SharedDoc>false</SharedDoc>
  <HLinks>
    <vt:vector size="6" baseType="variant">
      <vt:variant>
        <vt:i4>-1703414084</vt:i4>
      </vt:variant>
      <vt:variant>
        <vt:i4>0</vt:i4>
      </vt:variant>
      <vt:variant>
        <vt:i4>0</vt:i4>
      </vt:variant>
      <vt:variant>
        <vt:i4>5</vt:i4>
      </vt:variant>
      <vt:variant>
        <vt:lpwstr>mailto:亦請電子檔傳送招生組陳桂宗tsung@thu.edu.tw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陳桂宗</dc:creator>
  <cp:lastModifiedBy>蔡麗玲</cp:lastModifiedBy>
  <cp:revision>2</cp:revision>
  <cp:lastPrinted>2014-12-01T10:21:00Z</cp:lastPrinted>
  <dcterms:created xsi:type="dcterms:W3CDTF">2018-03-21T02:43:00Z</dcterms:created>
  <dcterms:modified xsi:type="dcterms:W3CDTF">2018-03-21T02:43:00Z</dcterms:modified>
</cp:coreProperties>
</file>